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5817BE">
      <w:pPr>
        <w:keepNext w:val="0"/>
        <w:keepLines w:val="0"/>
        <w:pageBreakBefore w:val="0"/>
        <w:widowControl w:val="0"/>
        <w:tabs>
          <w:tab w:val="center" w:pos="4621"/>
        </w:tabs>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pacing w:val="24"/>
          <w:sz w:val="72"/>
          <w:szCs w:val="72"/>
          <w:highlight w:val="none"/>
          <w:lang w:val="en-US" w:eastAsia="zh-CN"/>
        </w:rPr>
      </w:pPr>
      <w:r>
        <w:rPr>
          <w:rFonts w:hint="eastAsia" w:ascii="宋体" w:hAnsi="宋体" w:cs="宋体"/>
          <w:color w:val="auto"/>
          <w:spacing w:val="24"/>
          <w:sz w:val="72"/>
          <w:szCs w:val="72"/>
          <w:highlight w:val="none"/>
          <w:lang w:val="en-US" w:eastAsia="zh-CN"/>
        </w:rPr>
        <w:t xml:space="preserve"> </w:t>
      </w:r>
    </w:p>
    <w:p w14:paraId="701E4BD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w:t>
      </w:r>
      <w:r>
        <w:rPr>
          <w:rFonts w:hint="eastAsia" w:ascii="仿宋" w:hAnsi="仿宋" w:eastAsia="仿宋" w:cs="仿宋"/>
          <w:b/>
          <w:color w:val="auto"/>
          <w:sz w:val="48"/>
          <w:szCs w:val="48"/>
          <w:highlight w:val="none"/>
          <w:lang w:val="en-US" w:eastAsia="zh-CN"/>
        </w:rPr>
        <w:t>苏采云</w:t>
      </w:r>
      <w:r>
        <w:rPr>
          <w:rFonts w:hint="eastAsia" w:ascii="仿宋" w:hAnsi="仿宋" w:eastAsia="仿宋" w:cs="仿宋"/>
          <w:b/>
          <w:color w:val="auto"/>
          <w:sz w:val="48"/>
          <w:szCs w:val="48"/>
          <w:highlight w:val="none"/>
        </w:rPr>
        <w:t>全流程不见面交易”</w:t>
      </w:r>
    </w:p>
    <w:p w14:paraId="614ECDC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竞争性磋商文件</w:t>
      </w:r>
    </w:p>
    <w:p w14:paraId="309F304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36"/>
          <w:szCs w:val="36"/>
          <w:highlight w:val="none"/>
        </w:rPr>
      </w:pPr>
    </w:p>
    <w:p w14:paraId="2D92B798">
      <w:pPr>
        <w:keepNext w:val="0"/>
        <w:keepLines w:val="0"/>
        <w:pageBreakBefore w:val="0"/>
        <w:widowControl w:val="0"/>
        <w:kinsoku/>
        <w:wordWrap/>
        <w:overflowPunct/>
        <w:topLinePunct w:val="0"/>
        <w:autoSpaceDE/>
        <w:autoSpaceDN/>
        <w:bidi w:val="0"/>
        <w:adjustRightInd/>
        <w:snapToGrid/>
        <w:spacing w:line="360" w:lineRule="auto"/>
        <w:ind w:firstLine="723" w:firstLineChars="200"/>
        <w:jc w:val="both"/>
        <w:textAlignment w:val="auto"/>
        <w:rPr>
          <w:rFonts w:hint="eastAsia" w:ascii="仿宋" w:hAnsi="仿宋" w:eastAsia="仿宋" w:cs="仿宋"/>
          <w:b/>
          <w:color w:val="auto"/>
          <w:sz w:val="36"/>
          <w:szCs w:val="36"/>
          <w:highlight w:val="none"/>
        </w:rPr>
      </w:pPr>
    </w:p>
    <w:p w14:paraId="5FFAC8DE">
      <w:pPr>
        <w:keepNext w:val="0"/>
        <w:keepLines w:val="0"/>
        <w:pageBreakBefore w:val="0"/>
        <w:widowControl w:val="0"/>
        <w:kinsoku/>
        <w:wordWrap/>
        <w:overflowPunct/>
        <w:topLinePunct w:val="0"/>
        <w:autoSpaceDE/>
        <w:autoSpaceDN/>
        <w:bidi w:val="0"/>
        <w:adjustRightInd/>
        <w:snapToGrid/>
        <w:spacing w:line="360" w:lineRule="auto"/>
        <w:ind w:firstLine="723" w:firstLineChars="200"/>
        <w:jc w:val="both"/>
        <w:textAlignment w:val="auto"/>
        <w:rPr>
          <w:rFonts w:hint="eastAsia" w:ascii="仿宋" w:hAnsi="仿宋" w:eastAsia="仿宋" w:cs="仿宋"/>
          <w:b/>
          <w:color w:val="auto"/>
          <w:sz w:val="36"/>
          <w:szCs w:val="36"/>
          <w:highlight w:val="none"/>
        </w:rPr>
      </w:pPr>
    </w:p>
    <w:p w14:paraId="7D0C0A3A">
      <w:pPr>
        <w:keepNext w:val="0"/>
        <w:keepLines w:val="0"/>
        <w:pageBreakBefore w:val="0"/>
        <w:widowControl w:val="0"/>
        <w:kinsoku/>
        <w:wordWrap/>
        <w:overflowPunct/>
        <w:topLinePunct w:val="0"/>
        <w:autoSpaceDE/>
        <w:autoSpaceDN/>
        <w:bidi w:val="0"/>
        <w:adjustRightInd/>
        <w:snapToGrid/>
        <w:spacing w:line="360" w:lineRule="auto"/>
        <w:ind w:firstLine="723" w:firstLineChars="200"/>
        <w:jc w:val="both"/>
        <w:textAlignment w:val="auto"/>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rPr>
        <w:t>项目编号：</w:t>
      </w:r>
      <w:bookmarkStart w:id="0" w:name="OLE_LINK78"/>
      <w:r>
        <w:rPr>
          <w:rFonts w:hint="eastAsia" w:ascii="仿宋" w:hAnsi="仿宋" w:eastAsia="仿宋" w:cs="仿宋"/>
          <w:b/>
          <w:color w:val="auto"/>
          <w:sz w:val="36"/>
          <w:szCs w:val="36"/>
          <w:highlight w:val="none"/>
          <w:lang w:eastAsia="zh-CN"/>
        </w:rPr>
        <w:t>JSZC-320830-SXSD-C2026-0013</w:t>
      </w:r>
      <w:r>
        <w:rPr>
          <w:rFonts w:hint="eastAsia" w:ascii="仿宋" w:hAnsi="仿宋" w:eastAsia="仿宋" w:cs="仿宋"/>
          <w:b/>
          <w:color w:val="auto"/>
          <w:sz w:val="36"/>
          <w:szCs w:val="36"/>
          <w:highlight w:val="none"/>
        </w:rPr>
        <w:t xml:space="preserve"> </w:t>
      </w:r>
      <w:r>
        <w:rPr>
          <w:rFonts w:hint="eastAsia" w:ascii="仿宋" w:hAnsi="仿宋" w:eastAsia="仿宋" w:cs="仿宋"/>
          <w:b/>
          <w:color w:val="auto"/>
          <w:sz w:val="36"/>
          <w:szCs w:val="36"/>
          <w:highlight w:val="none"/>
          <w:lang w:val="en-US" w:eastAsia="zh-CN"/>
        </w:rPr>
        <w:t xml:space="preserve"> </w:t>
      </w:r>
    </w:p>
    <w:bookmarkEnd w:id="0"/>
    <w:p w14:paraId="2675FF8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36"/>
          <w:szCs w:val="36"/>
          <w:highlight w:val="none"/>
        </w:rPr>
      </w:pPr>
    </w:p>
    <w:p w14:paraId="4AF89D4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36"/>
          <w:szCs w:val="36"/>
          <w:highlight w:val="none"/>
        </w:rPr>
      </w:pPr>
    </w:p>
    <w:p w14:paraId="5D269F6D">
      <w:pPr>
        <w:pStyle w:val="22"/>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color w:val="auto"/>
          <w:sz w:val="36"/>
          <w:szCs w:val="36"/>
          <w:highlight w:val="none"/>
        </w:rPr>
      </w:pPr>
    </w:p>
    <w:p w14:paraId="0AB9DD3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auto"/>
          <w:highlight w:val="none"/>
        </w:rPr>
      </w:pPr>
    </w:p>
    <w:p w14:paraId="34864C3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auto"/>
          <w:highlight w:val="none"/>
        </w:rPr>
      </w:pPr>
    </w:p>
    <w:p w14:paraId="1FE6C2B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auto"/>
          <w:highlight w:val="none"/>
        </w:rPr>
      </w:pPr>
    </w:p>
    <w:p w14:paraId="1B73FCC2">
      <w:pPr>
        <w:pStyle w:val="2"/>
        <w:rPr>
          <w:rFonts w:hint="eastAsia"/>
          <w:color w:val="auto"/>
          <w:highlight w:val="none"/>
        </w:rPr>
      </w:pPr>
    </w:p>
    <w:p w14:paraId="089A8DC7">
      <w:pPr>
        <w:pageBreakBefore w:val="0"/>
        <w:kinsoku/>
        <w:overflowPunct/>
        <w:topLinePunct w:val="0"/>
        <w:bidi w:val="0"/>
        <w:spacing w:line="380" w:lineRule="exact"/>
        <w:rPr>
          <w:rFonts w:hint="eastAsia"/>
          <w:color w:val="auto"/>
          <w:highlight w:val="none"/>
        </w:rPr>
      </w:pPr>
    </w:p>
    <w:p w14:paraId="2C08C7C5">
      <w:pPr>
        <w:pageBreakBefore w:val="0"/>
        <w:kinsoku/>
        <w:overflowPunct/>
        <w:topLinePunct w:val="0"/>
        <w:bidi w:val="0"/>
        <w:spacing w:line="380" w:lineRule="exact"/>
        <w:rPr>
          <w:rFonts w:hint="eastAsia"/>
          <w:color w:val="auto"/>
          <w:highlight w:val="none"/>
        </w:rPr>
      </w:pPr>
    </w:p>
    <w:p w14:paraId="5783C728">
      <w:pPr>
        <w:pageBreakBefore w:val="0"/>
        <w:kinsoku/>
        <w:overflowPunct/>
        <w:topLinePunct w:val="0"/>
        <w:bidi w:val="0"/>
        <w:spacing w:line="380" w:lineRule="exact"/>
        <w:jc w:val="both"/>
        <w:rPr>
          <w:rFonts w:hint="eastAsia" w:ascii="仿宋" w:hAnsi="仿宋" w:eastAsia="仿宋" w:cs="仿宋"/>
          <w:color w:val="auto"/>
          <w:sz w:val="36"/>
          <w:szCs w:val="36"/>
          <w:highlight w:val="none"/>
        </w:rPr>
      </w:pPr>
    </w:p>
    <w:p w14:paraId="40F5A936">
      <w:pPr>
        <w:keepNext w:val="0"/>
        <w:keepLines w:val="0"/>
        <w:pageBreakBefore w:val="0"/>
        <w:widowControl w:val="0"/>
        <w:kinsoku/>
        <w:wordWrap/>
        <w:overflowPunct/>
        <w:topLinePunct w:val="0"/>
        <w:autoSpaceDE w:val="0"/>
        <w:autoSpaceDN w:val="0"/>
        <w:bidi w:val="0"/>
        <w:adjustRightInd w:val="0"/>
        <w:snapToGrid/>
        <w:spacing w:line="360" w:lineRule="auto"/>
        <w:ind w:left="2244" w:leftChars="304" w:hanging="1606" w:hangingChars="500"/>
        <w:jc w:val="left"/>
        <w:textAlignment w:val="auto"/>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项目名称：盱眙马坝纺织园（振帆地块）电力杆线迁改工程</w:t>
      </w:r>
    </w:p>
    <w:p w14:paraId="1F4D5AF2">
      <w:pPr>
        <w:keepNext w:val="0"/>
        <w:keepLines w:val="0"/>
        <w:pageBreakBefore w:val="0"/>
        <w:widowControl w:val="0"/>
        <w:kinsoku/>
        <w:wordWrap/>
        <w:overflowPunct/>
        <w:topLinePunct w:val="0"/>
        <w:autoSpaceDE w:val="0"/>
        <w:autoSpaceDN w:val="0"/>
        <w:bidi w:val="0"/>
        <w:adjustRightInd w:val="0"/>
        <w:snapToGrid/>
        <w:spacing w:line="360" w:lineRule="auto"/>
        <w:ind w:firstLine="643" w:firstLineChars="200"/>
        <w:jc w:val="left"/>
        <w:textAlignment w:val="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eastAsia="zh-CN"/>
        </w:rPr>
        <w:t>采</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购</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人：盱眙县马坝镇人民政府</w:t>
      </w:r>
      <w:r>
        <w:rPr>
          <w:rFonts w:hint="eastAsia" w:ascii="仿宋" w:hAnsi="仿宋" w:eastAsia="仿宋" w:cs="仿宋"/>
          <w:b/>
          <w:bCs/>
          <w:color w:val="auto"/>
          <w:sz w:val="32"/>
          <w:szCs w:val="32"/>
          <w:highlight w:val="none"/>
          <w:lang w:val="en-US" w:eastAsia="zh-CN"/>
        </w:rPr>
        <w:t xml:space="preserve"> </w:t>
      </w:r>
    </w:p>
    <w:p w14:paraId="02B60F72">
      <w:pPr>
        <w:keepNext w:val="0"/>
        <w:keepLines w:val="0"/>
        <w:pageBreakBefore w:val="0"/>
        <w:widowControl w:val="0"/>
        <w:kinsoku/>
        <w:wordWrap/>
        <w:overflowPunct/>
        <w:topLinePunct w:val="0"/>
        <w:autoSpaceDE w:val="0"/>
        <w:autoSpaceDN w:val="0"/>
        <w:bidi w:val="0"/>
        <w:adjustRightInd w:val="0"/>
        <w:snapToGrid/>
        <w:spacing w:line="360" w:lineRule="auto"/>
        <w:ind w:firstLine="643" w:firstLineChars="200"/>
        <w:jc w:val="left"/>
        <w:textAlignment w:val="auto"/>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采购代理机构：江苏新时代工程项目管理有限公司</w:t>
      </w:r>
    </w:p>
    <w:p w14:paraId="05F4CC27">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             </w:t>
      </w:r>
      <w:r>
        <w:rPr>
          <w:rFonts w:hint="eastAsia" w:ascii="仿宋" w:hAnsi="仿宋" w:eastAsia="仿宋" w:cs="仿宋"/>
          <w:b/>
          <w:bCs/>
          <w:color w:val="auto"/>
          <w:sz w:val="32"/>
          <w:szCs w:val="32"/>
          <w:highlight w:val="none"/>
          <w:lang w:val="en-US" w:eastAsia="zh-CN"/>
        </w:rPr>
        <w:t xml:space="preserve">        2026</w:t>
      </w:r>
      <w:r>
        <w:rPr>
          <w:rFonts w:hint="eastAsia" w:ascii="仿宋" w:hAnsi="仿宋" w:eastAsia="仿宋" w:cs="仿宋"/>
          <w:b/>
          <w:bCs/>
          <w:color w:val="auto"/>
          <w:sz w:val="32"/>
          <w:szCs w:val="32"/>
          <w:highlight w:val="none"/>
          <w:lang w:eastAsia="zh-CN"/>
        </w:rPr>
        <w:t>年</w:t>
      </w:r>
      <w:r>
        <w:rPr>
          <w:rFonts w:hint="eastAsia" w:ascii="仿宋" w:hAnsi="仿宋" w:eastAsia="仿宋" w:cs="仿宋"/>
          <w:b/>
          <w:bCs/>
          <w:color w:val="auto"/>
          <w:sz w:val="32"/>
          <w:szCs w:val="32"/>
          <w:highlight w:val="none"/>
          <w:lang w:val="en-US" w:eastAsia="zh-CN"/>
        </w:rPr>
        <w:t>4</w:t>
      </w:r>
      <w:r>
        <w:rPr>
          <w:rFonts w:hint="eastAsia" w:ascii="仿宋" w:hAnsi="仿宋" w:eastAsia="仿宋" w:cs="仿宋"/>
          <w:b/>
          <w:bCs/>
          <w:color w:val="auto"/>
          <w:sz w:val="32"/>
          <w:szCs w:val="32"/>
          <w:highlight w:val="none"/>
          <w:lang w:eastAsia="zh-CN"/>
        </w:rPr>
        <w:t>月</w:t>
      </w:r>
    </w:p>
    <w:p w14:paraId="5A7DFDC4">
      <w:pPr>
        <w:keepNext w:val="0"/>
        <w:keepLines w:val="0"/>
        <w:pageBreakBefore w:val="0"/>
        <w:widowControl w:val="0"/>
        <w:kinsoku/>
        <w:wordWrap/>
        <w:overflowPunct/>
        <w:topLinePunct w:val="0"/>
        <w:bidi w:val="0"/>
        <w:snapToGrid/>
        <w:spacing w:line="360" w:lineRule="auto"/>
        <w:jc w:val="center"/>
        <w:textAlignment w:val="auto"/>
        <w:rPr>
          <w:rFonts w:hint="eastAsia" w:ascii="仿宋" w:hAnsi="仿宋" w:eastAsia="仿宋" w:cs="仿宋"/>
          <w:b/>
          <w:bCs/>
          <w:color w:val="auto"/>
          <w:sz w:val="30"/>
          <w:szCs w:val="30"/>
          <w:highlight w:val="none"/>
        </w:rPr>
        <w:sectPr>
          <w:pgSz w:w="11906" w:h="16838"/>
          <w:pgMar w:top="1440" w:right="1361" w:bottom="1440" w:left="1361" w:header="851" w:footer="992" w:gutter="0"/>
          <w:pgBorders>
            <w:top w:val="none" w:sz="0" w:space="0"/>
            <w:left w:val="none" w:sz="0" w:space="0"/>
            <w:bottom w:val="none" w:sz="0" w:space="0"/>
            <w:right w:val="none" w:sz="0" w:space="0"/>
          </w:pgBorders>
          <w:cols w:space="720" w:num="1"/>
          <w:docGrid w:type="lines" w:linePitch="312" w:charSpace="0"/>
        </w:sectPr>
      </w:pPr>
    </w:p>
    <w:p w14:paraId="0679A656">
      <w:pPr>
        <w:pageBreakBefore w:val="0"/>
        <w:kinsoku/>
        <w:overflowPunct/>
        <w:topLinePunct w:val="0"/>
        <w:bidi w:val="0"/>
        <w:spacing w:line="38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r>
    </w:p>
    <w:p w14:paraId="58279F6D">
      <w:pPr>
        <w:keepNext w:val="0"/>
        <w:keepLines w:val="0"/>
        <w:pageBreakBefore w:val="0"/>
        <w:kinsoku/>
        <w:overflowPunct/>
        <w:topLinePunct w:val="0"/>
        <w:bidi w:val="0"/>
        <w:spacing w:line="380" w:lineRule="exact"/>
        <w:jc w:val="center"/>
        <w:textAlignment w:val="auto"/>
        <w:rPr>
          <w:rFonts w:hint="eastAsia" w:ascii="宋体" w:hAnsi="宋体" w:eastAsia="宋体" w:cs="宋体"/>
          <w:color w:val="auto"/>
          <w:sz w:val="32"/>
          <w:highlight w:val="none"/>
        </w:rPr>
      </w:pPr>
      <w:r>
        <w:rPr>
          <w:rFonts w:hint="eastAsia" w:ascii="宋体" w:hAnsi="宋体" w:eastAsia="宋体" w:cs="宋体"/>
          <w:b/>
          <w:color w:val="auto"/>
          <w:sz w:val="30"/>
          <w:szCs w:val="30"/>
          <w:highlight w:val="none"/>
        </w:rPr>
        <w:t>前附表</w:t>
      </w:r>
    </w:p>
    <w:tbl>
      <w:tblPr>
        <w:tblStyle w:val="17"/>
        <w:tblW w:w="9311" w:type="dxa"/>
        <w:jc w:val="center"/>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Layout w:type="fixed"/>
        <w:tblCellMar>
          <w:top w:w="0" w:type="dxa"/>
          <w:left w:w="108" w:type="dxa"/>
          <w:bottom w:w="0" w:type="dxa"/>
          <w:right w:w="108" w:type="dxa"/>
        </w:tblCellMar>
      </w:tblPr>
      <w:tblGrid>
        <w:gridCol w:w="751"/>
        <w:gridCol w:w="1943"/>
        <w:gridCol w:w="6617"/>
      </w:tblGrid>
      <w:tr w14:paraId="77588046">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340" w:hRule="atLeast"/>
          <w:jc w:val="center"/>
        </w:trPr>
        <w:tc>
          <w:tcPr>
            <w:tcW w:w="751" w:type="dxa"/>
            <w:tcBorders>
              <w:top w:val="single" w:color="auto" w:sz="6" w:space="0"/>
              <w:left w:val="single" w:color="auto" w:sz="6" w:space="0"/>
              <w:bottom w:val="single" w:color="auto" w:sz="6" w:space="0"/>
              <w:right w:val="single" w:color="auto" w:sz="6" w:space="0"/>
              <w:tl2br w:val="nil"/>
              <w:tr2bl w:val="nil"/>
            </w:tcBorders>
            <w:vAlign w:val="center"/>
          </w:tcPr>
          <w:p w14:paraId="6FEFD2CF">
            <w:pPr>
              <w:keepNext w:val="0"/>
              <w:keepLines w:val="0"/>
              <w:pageBreakBefore w:val="0"/>
              <w:kinsoku/>
              <w:overflowPunct/>
              <w:topLinePunct w:val="0"/>
              <w:autoSpaceDE w:val="0"/>
              <w:autoSpaceDN w:val="0"/>
              <w:bidi w:val="0"/>
              <w:adjustRightInd w:val="0"/>
              <w:spacing w:line="380" w:lineRule="exact"/>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项号</w:t>
            </w:r>
          </w:p>
        </w:tc>
        <w:tc>
          <w:tcPr>
            <w:tcW w:w="1943" w:type="dxa"/>
            <w:tcBorders>
              <w:top w:val="single" w:color="auto" w:sz="6" w:space="0"/>
              <w:left w:val="single" w:color="auto" w:sz="6" w:space="0"/>
              <w:bottom w:val="single" w:color="auto" w:sz="6" w:space="0"/>
              <w:right w:val="single" w:color="auto" w:sz="6" w:space="0"/>
              <w:tl2br w:val="nil"/>
              <w:tr2bl w:val="nil"/>
            </w:tcBorders>
            <w:vAlign w:val="center"/>
          </w:tcPr>
          <w:p w14:paraId="41071070">
            <w:pPr>
              <w:keepNext w:val="0"/>
              <w:keepLines w:val="0"/>
              <w:pageBreakBefore w:val="0"/>
              <w:kinsoku/>
              <w:overflowPunct/>
              <w:topLinePunct w:val="0"/>
              <w:autoSpaceDE w:val="0"/>
              <w:autoSpaceDN w:val="0"/>
              <w:bidi w:val="0"/>
              <w:adjustRightInd w:val="0"/>
              <w:snapToGrid w:val="0"/>
              <w:spacing w:line="380" w:lineRule="exact"/>
              <w:jc w:val="center"/>
              <w:textAlignment w:val="auto"/>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名称</w:t>
            </w:r>
          </w:p>
        </w:tc>
        <w:tc>
          <w:tcPr>
            <w:tcW w:w="6617" w:type="dxa"/>
            <w:tcBorders>
              <w:top w:val="single" w:color="auto" w:sz="6" w:space="0"/>
              <w:left w:val="single" w:color="auto" w:sz="6" w:space="0"/>
              <w:bottom w:val="single" w:color="auto" w:sz="6" w:space="0"/>
              <w:right w:val="single" w:color="auto" w:sz="6" w:space="0"/>
              <w:tl2br w:val="nil"/>
              <w:tr2bl w:val="nil"/>
            </w:tcBorders>
            <w:vAlign w:val="center"/>
          </w:tcPr>
          <w:p w14:paraId="2A2A51E0">
            <w:pPr>
              <w:keepNext w:val="0"/>
              <w:keepLines w:val="0"/>
              <w:pageBreakBefore w:val="0"/>
              <w:kinsoku/>
              <w:overflowPunct/>
              <w:topLinePunct w:val="0"/>
              <w:autoSpaceDE w:val="0"/>
              <w:autoSpaceDN w:val="0"/>
              <w:bidi w:val="0"/>
              <w:adjustRightInd w:val="0"/>
              <w:spacing w:line="380" w:lineRule="exact"/>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内      容</w:t>
            </w:r>
          </w:p>
        </w:tc>
      </w:tr>
      <w:tr w14:paraId="68F21261">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340" w:hRule="atLeast"/>
          <w:jc w:val="center"/>
        </w:trPr>
        <w:tc>
          <w:tcPr>
            <w:tcW w:w="751" w:type="dxa"/>
            <w:tcBorders>
              <w:top w:val="single" w:color="auto" w:sz="6" w:space="0"/>
              <w:left w:val="single" w:color="auto" w:sz="6" w:space="0"/>
              <w:bottom w:val="single" w:color="auto" w:sz="6" w:space="0"/>
              <w:right w:val="single" w:color="auto" w:sz="6" w:space="0"/>
              <w:tl2br w:val="nil"/>
              <w:tr2bl w:val="nil"/>
            </w:tcBorders>
            <w:vAlign w:val="center"/>
          </w:tcPr>
          <w:p w14:paraId="6940878D">
            <w:pPr>
              <w:keepNext w:val="0"/>
              <w:keepLines w:val="0"/>
              <w:pageBreakBefore w:val="0"/>
              <w:kinsoku/>
              <w:overflowPunct/>
              <w:topLinePunct w:val="0"/>
              <w:autoSpaceDE w:val="0"/>
              <w:autoSpaceDN w:val="0"/>
              <w:bidi w:val="0"/>
              <w:adjustRightInd w:val="0"/>
              <w:spacing w:line="3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943" w:type="dxa"/>
            <w:tcBorders>
              <w:top w:val="single" w:color="auto" w:sz="6" w:space="0"/>
              <w:left w:val="single" w:color="auto" w:sz="6" w:space="0"/>
              <w:bottom w:val="single" w:color="auto" w:sz="6" w:space="0"/>
              <w:right w:val="single" w:color="auto" w:sz="6" w:space="0"/>
              <w:tl2br w:val="nil"/>
              <w:tr2bl w:val="nil"/>
            </w:tcBorders>
            <w:vAlign w:val="center"/>
          </w:tcPr>
          <w:p w14:paraId="3907C077">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采购人</w:t>
            </w:r>
          </w:p>
        </w:tc>
        <w:tc>
          <w:tcPr>
            <w:tcW w:w="6617" w:type="dxa"/>
            <w:tcBorders>
              <w:top w:val="single" w:color="auto" w:sz="6" w:space="0"/>
              <w:left w:val="single" w:color="auto" w:sz="6" w:space="0"/>
              <w:bottom w:val="single" w:color="auto" w:sz="6" w:space="0"/>
              <w:right w:val="single" w:color="auto" w:sz="6" w:space="0"/>
              <w:tl2br w:val="nil"/>
              <w:tr2bl w:val="nil"/>
            </w:tcBorders>
            <w:vAlign w:val="center"/>
          </w:tcPr>
          <w:p w14:paraId="5FB3B292">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盱眙县马坝镇人民政府 </w:t>
            </w:r>
            <w:r>
              <w:rPr>
                <w:rFonts w:hint="eastAsia" w:ascii="仿宋" w:hAnsi="仿宋" w:eastAsia="仿宋" w:cs="仿宋"/>
                <w:color w:val="auto"/>
                <w:sz w:val="24"/>
                <w:szCs w:val="24"/>
                <w:highlight w:val="none"/>
                <w:lang w:val="en-US" w:eastAsia="zh-CN"/>
              </w:rPr>
              <w:t xml:space="preserve"> </w:t>
            </w:r>
          </w:p>
        </w:tc>
      </w:tr>
      <w:tr w14:paraId="1BB8FDDA">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340" w:hRule="atLeast"/>
          <w:jc w:val="center"/>
        </w:trPr>
        <w:tc>
          <w:tcPr>
            <w:tcW w:w="751" w:type="dxa"/>
            <w:tcBorders>
              <w:top w:val="single" w:color="auto" w:sz="6" w:space="0"/>
              <w:left w:val="single" w:color="auto" w:sz="6" w:space="0"/>
              <w:bottom w:val="single" w:color="auto" w:sz="6" w:space="0"/>
              <w:right w:val="single" w:color="auto" w:sz="6" w:space="0"/>
              <w:tl2br w:val="nil"/>
              <w:tr2bl w:val="nil"/>
            </w:tcBorders>
            <w:vAlign w:val="center"/>
          </w:tcPr>
          <w:p w14:paraId="448A088B">
            <w:pPr>
              <w:keepNext w:val="0"/>
              <w:keepLines w:val="0"/>
              <w:pageBreakBefore w:val="0"/>
              <w:kinsoku/>
              <w:overflowPunct/>
              <w:topLinePunct w:val="0"/>
              <w:autoSpaceDE w:val="0"/>
              <w:autoSpaceDN w:val="0"/>
              <w:bidi w:val="0"/>
              <w:adjustRightInd w:val="0"/>
              <w:spacing w:line="3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943" w:type="dxa"/>
            <w:tcBorders>
              <w:top w:val="single" w:color="auto" w:sz="6" w:space="0"/>
              <w:left w:val="single" w:color="auto" w:sz="6" w:space="0"/>
              <w:bottom w:val="single" w:color="auto" w:sz="6" w:space="0"/>
              <w:right w:val="single" w:color="auto" w:sz="6" w:space="0"/>
              <w:tl2br w:val="nil"/>
              <w:tr2bl w:val="nil"/>
            </w:tcBorders>
            <w:vAlign w:val="center"/>
          </w:tcPr>
          <w:p w14:paraId="4174BB96">
            <w:pPr>
              <w:keepNext w:val="0"/>
              <w:keepLines w:val="0"/>
              <w:pageBreakBefore w:val="0"/>
              <w:kinsoku/>
              <w:overflowPunct/>
              <w:topLinePunct w:val="0"/>
              <w:autoSpaceDE w:val="0"/>
              <w:autoSpaceDN w:val="0"/>
              <w:bidi w:val="0"/>
              <w:adjustRightInd w:val="0"/>
              <w:spacing w:line="3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采购代理机构</w:t>
            </w:r>
          </w:p>
        </w:tc>
        <w:tc>
          <w:tcPr>
            <w:tcW w:w="6617" w:type="dxa"/>
            <w:tcBorders>
              <w:top w:val="single" w:color="auto" w:sz="6" w:space="0"/>
              <w:left w:val="single" w:color="auto" w:sz="6" w:space="0"/>
              <w:bottom w:val="single" w:color="auto" w:sz="6" w:space="0"/>
              <w:right w:val="single" w:color="auto" w:sz="6" w:space="0"/>
              <w:tl2br w:val="nil"/>
              <w:tr2bl w:val="nil"/>
            </w:tcBorders>
            <w:vAlign w:val="center"/>
          </w:tcPr>
          <w:p w14:paraId="78A7241F">
            <w:pPr>
              <w:keepNext w:val="0"/>
              <w:keepLines w:val="0"/>
              <w:pageBreakBefore w:val="0"/>
              <w:kinsoku/>
              <w:overflowPunct/>
              <w:topLinePunct w:val="0"/>
              <w:autoSpaceDE w:val="0"/>
              <w:autoSpaceDN w:val="0"/>
              <w:bidi w:val="0"/>
              <w:adjustRightInd w:val="0"/>
              <w:spacing w:line="38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江苏新时代工程项目管理有限公司</w:t>
            </w:r>
          </w:p>
        </w:tc>
      </w:tr>
      <w:tr w14:paraId="2B6DB196">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340" w:hRule="atLeast"/>
          <w:jc w:val="center"/>
        </w:trPr>
        <w:tc>
          <w:tcPr>
            <w:tcW w:w="751" w:type="dxa"/>
            <w:tcBorders>
              <w:top w:val="single" w:color="auto" w:sz="6" w:space="0"/>
              <w:left w:val="single" w:color="auto" w:sz="6" w:space="0"/>
              <w:bottom w:val="single" w:color="auto" w:sz="6" w:space="0"/>
              <w:right w:val="single" w:color="auto" w:sz="6" w:space="0"/>
              <w:tl2br w:val="nil"/>
              <w:tr2bl w:val="nil"/>
            </w:tcBorders>
            <w:vAlign w:val="center"/>
          </w:tcPr>
          <w:p w14:paraId="5F837D6E">
            <w:pPr>
              <w:keepNext w:val="0"/>
              <w:keepLines w:val="0"/>
              <w:pageBreakBefore w:val="0"/>
              <w:kinsoku/>
              <w:overflowPunct/>
              <w:topLinePunct w:val="0"/>
              <w:autoSpaceDE w:val="0"/>
              <w:autoSpaceDN w:val="0"/>
              <w:bidi w:val="0"/>
              <w:adjustRightInd w:val="0"/>
              <w:spacing w:line="3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943" w:type="dxa"/>
            <w:tcBorders>
              <w:top w:val="single" w:color="auto" w:sz="6" w:space="0"/>
              <w:left w:val="single" w:color="auto" w:sz="6" w:space="0"/>
              <w:bottom w:val="single" w:color="auto" w:sz="6" w:space="0"/>
              <w:right w:val="single" w:color="auto" w:sz="6" w:space="0"/>
              <w:tl2br w:val="nil"/>
              <w:tr2bl w:val="nil"/>
            </w:tcBorders>
            <w:vAlign w:val="center"/>
          </w:tcPr>
          <w:p w14:paraId="6474B8A3">
            <w:pPr>
              <w:keepNext w:val="0"/>
              <w:keepLines w:val="0"/>
              <w:pageBreakBefore w:val="0"/>
              <w:kinsoku/>
              <w:overflowPunct/>
              <w:topLinePunct w:val="0"/>
              <w:autoSpaceDE w:val="0"/>
              <w:autoSpaceDN w:val="0"/>
              <w:bidi w:val="0"/>
              <w:adjustRightInd w:val="0"/>
              <w:spacing w:line="38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项目编号</w:t>
            </w:r>
          </w:p>
        </w:tc>
        <w:tc>
          <w:tcPr>
            <w:tcW w:w="6617" w:type="dxa"/>
            <w:tcBorders>
              <w:top w:val="single" w:color="auto" w:sz="6" w:space="0"/>
              <w:left w:val="single" w:color="auto" w:sz="6" w:space="0"/>
              <w:bottom w:val="single" w:color="auto" w:sz="6" w:space="0"/>
              <w:right w:val="single" w:color="auto" w:sz="6" w:space="0"/>
              <w:tl2br w:val="nil"/>
              <w:tr2bl w:val="nil"/>
            </w:tcBorders>
            <w:vAlign w:val="center"/>
          </w:tcPr>
          <w:p w14:paraId="46F269A7">
            <w:pPr>
              <w:keepNext w:val="0"/>
              <w:keepLines w:val="0"/>
              <w:pageBreakBefore w:val="0"/>
              <w:kinsoku/>
              <w:overflowPunct/>
              <w:topLinePunct w:val="0"/>
              <w:autoSpaceDE w:val="0"/>
              <w:autoSpaceDN w:val="0"/>
              <w:bidi w:val="0"/>
              <w:adjustRightInd w:val="0"/>
              <w:spacing w:line="38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JSZC-320830-SXSD-C2026-0013</w:t>
            </w:r>
          </w:p>
        </w:tc>
      </w:tr>
      <w:tr w14:paraId="718C5324">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340" w:hRule="atLeast"/>
          <w:jc w:val="center"/>
        </w:trPr>
        <w:tc>
          <w:tcPr>
            <w:tcW w:w="751" w:type="dxa"/>
            <w:tcBorders>
              <w:top w:val="single" w:color="auto" w:sz="6" w:space="0"/>
              <w:left w:val="single" w:color="auto" w:sz="6" w:space="0"/>
              <w:bottom w:val="single" w:color="auto" w:sz="6" w:space="0"/>
              <w:right w:val="single" w:color="auto" w:sz="6" w:space="0"/>
              <w:tl2br w:val="nil"/>
              <w:tr2bl w:val="nil"/>
            </w:tcBorders>
            <w:vAlign w:val="center"/>
          </w:tcPr>
          <w:p w14:paraId="462D1E46">
            <w:pPr>
              <w:keepNext w:val="0"/>
              <w:keepLines w:val="0"/>
              <w:pageBreakBefore w:val="0"/>
              <w:kinsoku/>
              <w:overflowPunct/>
              <w:topLinePunct w:val="0"/>
              <w:autoSpaceDE w:val="0"/>
              <w:autoSpaceDN w:val="0"/>
              <w:bidi w:val="0"/>
              <w:adjustRightInd w:val="0"/>
              <w:spacing w:line="3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1943" w:type="dxa"/>
            <w:tcBorders>
              <w:top w:val="single" w:color="auto" w:sz="6" w:space="0"/>
              <w:left w:val="single" w:color="auto" w:sz="6" w:space="0"/>
              <w:bottom w:val="single" w:color="auto" w:sz="6" w:space="0"/>
              <w:right w:val="single" w:color="auto" w:sz="6" w:space="0"/>
              <w:tl2br w:val="nil"/>
              <w:tr2bl w:val="nil"/>
            </w:tcBorders>
            <w:vAlign w:val="center"/>
          </w:tcPr>
          <w:p w14:paraId="606C72B5">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招标内容</w:t>
            </w:r>
          </w:p>
        </w:tc>
        <w:tc>
          <w:tcPr>
            <w:tcW w:w="6617" w:type="dxa"/>
            <w:tcBorders>
              <w:top w:val="single" w:color="auto" w:sz="6" w:space="0"/>
              <w:left w:val="single" w:color="auto" w:sz="6" w:space="0"/>
              <w:bottom w:val="single" w:color="auto" w:sz="6" w:space="0"/>
              <w:right w:val="single" w:color="auto" w:sz="6" w:space="0"/>
              <w:tl2br w:val="nil"/>
              <w:tr2bl w:val="nil"/>
            </w:tcBorders>
            <w:vAlign w:val="center"/>
          </w:tcPr>
          <w:p w14:paraId="76A9691E">
            <w:pPr>
              <w:keepNext w:val="0"/>
              <w:keepLines w:val="0"/>
              <w:pageBreakBefore w:val="0"/>
              <w:kinsoku/>
              <w:overflowPunct/>
              <w:topLinePunct w:val="0"/>
              <w:autoSpaceDE w:val="0"/>
              <w:autoSpaceDN w:val="0"/>
              <w:bidi w:val="0"/>
              <w:adjustRightInd w:val="0"/>
              <w:spacing w:line="38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盱眙马坝纺织园（振帆地块）电力杆线迁改工程，具体详见磋商文件第</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lang w:eastAsia="zh-CN"/>
              </w:rPr>
              <w:t>章项目采购需求；</w:t>
            </w:r>
          </w:p>
        </w:tc>
      </w:tr>
      <w:tr w14:paraId="4820BFB0">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340" w:hRule="atLeast"/>
          <w:jc w:val="center"/>
        </w:trPr>
        <w:tc>
          <w:tcPr>
            <w:tcW w:w="751" w:type="dxa"/>
            <w:tcBorders>
              <w:top w:val="single" w:color="auto" w:sz="6" w:space="0"/>
              <w:left w:val="single" w:color="auto" w:sz="6" w:space="0"/>
              <w:bottom w:val="single" w:color="auto" w:sz="6" w:space="0"/>
              <w:right w:val="single" w:color="auto" w:sz="6" w:space="0"/>
              <w:tl2br w:val="nil"/>
              <w:tr2bl w:val="nil"/>
            </w:tcBorders>
            <w:vAlign w:val="center"/>
          </w:tcPr>
          <w:p w14:paraId="493F981D">
            <w:pPr>
              <w:keepNext w:val="0"/>
              <w:keepLines w:val="0"/>
              <w:pageBreakBefore w:val="0"/>
              <w:kinsoku/>
              <w:overflowPunct/>
              <w:topLinePunct w:val="0"/>
              <w:autoSpaceDE w:val="0"/>
              <w:autoSpaceDN w:val="0"/>
              <w:bidi w:val="0"/>
              <w:adjustRightInd w:val="0"/>
              <w:spacing w:line="3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1943" w:type="dxa"/>
            <w:tcBorders>
              <w:top w:val="single" w:color="auto" w:sz="6" w:space="0"/>
              <w:left w:val="single" w:color="auto" w:sz="6" w:space="0"/>
              <w:bottom w:val="single" w:color="auto" w:sz="6" w:space="0"/>
              <w:right w:val="single" w:color="auto" w:sz="6" w:space="0"/>
              <w:tl2br w:val="nil"/>
              <w:tr2bl w:val="nil"/>
            </w:tcBorders>
            <w:vAlign w:val="center"/>
          </w:tcPr>
          <w:p w14:paraId="46E40394">
            <w:pPr>
              <w:keepNext w:val="0"/>
              <w:keepLines w:val="0"/>
              <w:pageBreakBefore w:val="0"/>
              <w:kinsoku/>
              <w:overflowPunct/>
              <w:topLinePunct w:val="0"/>
              <w:autoSpaceDE w:val="0"/>
              <w:autoSpaceDN w:val="0"/>
              <w:bidi w:val="0"/>
              <w:adjustRightInd w:val="0"/>
              <w:spacing w:line="3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采购预算价</w:t>
            </w:r>
          </w:p>
        </w:tc>
        <w:tc>
          <w:tcPr>
            <w:tcW w:w="6617" w:type="dxa"/>
            <w:tcBorders>
              <w:top w:val="single" w:color="auto" w:sz="6" w:space="0"/>
              <w:left w:val="single" w:color="auto" w:sz="6" w:space="0"/>
              <w:bottom w:val="single" w:color="auto" w:sz="6" w:space="0"/>
              <w:right w:val="single" w:color="auto" w:sz="6" w:space="0"/>
              <w:tl2br w:val="nil"/>
              <w:tr2bl w:val="nil"/>
            </w:tcBorders>
            <w:vAlign w:val="center"/>
          </w:tcPr>
          <w:p w14:paraId="35931684">
            <w:pPr>
              <w:keepNext w:val="0"/>
              <w:keepLines w:val="0"/>
              <w:pageBreakBefore w:val="0"/>
              <w:kinsoku/>
              <w:overflowPunct/>
              <w:topLinePunct w:val="0"/>
              <w:autoSpaceDE w:val="0"/>
              <w:autoSpaceDN w:val="0"/>
              <w:bidi w:val="0"/>
              <w:adjustRightInd w:val="0"/>
              <w:spacing w:line="380" w:lineRule="exact"/>
              <w:jc w:val="both"/>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val="en-US" w:eastAsia="zh-CN"/>
              </w:rPr>
              <w:t>292.2万元</w:t>
            </w:r>
          </w:p>
        </w:tc>
      </w:tr>
      <w:tr w14:paraId="1EA31A41">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340" w:hRule="atLeast"/>
          <w:jc w:val="center"/>
        </w:trPr>
        <w:tc>
          <w:tcPr>
            <w:tcW w:w="751" w:type="dxa"/>
            <w:tcBorders>
              <w:top w:val="single" w:color="auto" w:sz="6" w:space="0"/>
              <w:left w:val="single" w:color="auto" w:sz="6" w:space="0"/>
              <w:bottom w:val="single" w:color="auto" w:sz="6" w:space="0"/>
              <w:right w:val="single" w:color="auto" w:sz="6" w:space="0"/>
              <w:tl2br w:val="nil"/>
              <w:tr2bl w:val="nil"/>
            </w:tcBorders>
            <w:vAlign w:val="center"/>
          </w:tcPr>
          <w:p w14:paraId="06C7556A">
            <w:pPr>
              <w:keepNext w:val="0"/>
              <w:keepLines w:val="0"/>
              <w:pageBreakBefore w:val="0"/>
              <w:kinsoku/>
              <w:overflowPunct/>
              <w:topLinePunct w:val="0"/>
              <w:autoSpaceDE w:val="0"/>
              <w:autoSpaceDN w:val="0"/>
              <w:bidi w:val="0"/>
              <w:adjustRightInd w:val="0"/>
              <w:spacing w:line="3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1943" w:type="dxa"/>
            <w:tcBorders>
              <w:top w:val="single" w:color="auto" w:sz="6" w:space="0"/>
              <w:left w:val="single" w:color="auto" w:sz="6" w:space="0"/>
              <w:bottom w:val="single" w:color="auto" w:sz="6" w:space="0"/>
              <w:right w:val="single" w:color="auto" w:sz="6" w:space="0"/>
              <w:tl2br w:val="nil"/>
              <w:tr2bl w:val="nil"/>
            </w:tcBorders>
            <w:vAlign w:val="center"/>
          </w:tcPr>
          <w:p w14:paraId="7797F7DE">
            <w:pPr>
              <w:keepNext w:val="0"/>
              <w:keepLines w:val="0"/>
              <w:pageBreakBefore w:val="0"/>
              <w:kinsoku/>
              <w:overflowPunct/>
              <w:topLinePunct w:val="0"/>
              <w:autoSpaceDE w:val="0"/>
              <w:autoSpaceDN w:val="0"/>
              <w:bidi w:val="0"/>
              <w:adjustRightInd w:val="0"/>
              <w:spacing w:line="3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投标有效期</w:t>
            </w:r>
          </w:p>
        </w:tc>
        <w:tc>
          <w:tcPr>
            <w:tcW w:w="6617" w:type="dxa"/>
            <w:tcBorders>
              <w:top w:val="single" w:color="auto" w:sz="6" w:space="0"/>
              <w:left w:val="single" w:color="auto" w:sz="6" w:space="0"/>
              <w:bottom w:val="single" w:color="auto" w:sz="6" w:space="0"/>
              <w:right w:val="single" w:color="auto" w:sz="6" w:space="0"/>
              <w:tl2br w:val="nil"/>
              <w:tr2bl w:val="nil"/>
            </w:tcBorders>
            <w:vAlign w:val="center"/>
          </w:tcPr>
          <w:p w14:paraId="2795522E">
            <w:pPr>
              <w:keepNext w:val="0"/>
              <w:keepLines w:val="0"/>
              <w:pageBreakBefore w:val="0"/>
              <w:kinsoku/>
              <w:overflowPunct/>
              <w:topLinePunct w:val="0"/>
              <w:autoSpaceDE w:val="0"/>
              <w:autoSpaceDN w:val="0"/>
              <w:bidi w:val="0"/>
              <w:adjustRightInd w:val="0"/>
              <w:spacing w:line="38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九十日历天</w:t>
            </w:r>
          </w:p>
        </w:tc>
      </w:tr>
      <w:tr w14:paraId="4E85AAB3">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340" w:hRule="atLeast"/>
          <w:jc w:val="center"/>
        </w:trPr>
        <w:tc>
          <w:tcPr>
            <w:tcW w:w="751" w:type="dxa"/>
            <w:tcBorders>
              <w:top w:val="single" w:color="auto" w:sz="6" w:space="0"/>
              <w:left w:val="single" w:color="auto" w:sz="6" w:space="0"/>
              <w:bottom w:val="single" w:color="auto" w:sz="6" w:space="0"/>
              <w:right w:val="single" w:color="auto" w:sz="6" w:space="0"/>
              <w:tl2br w:val="nil"/>
              <w:tr2bl w:val="nil"/>
            </w:tcBorders>
            <w:vAlign w:val="center"/>
          </w:tcPr>
          <w:p w14:paraId="40F4D05A">
            <w:pPr>
              <w:keepNext w:val="0"/>
              <w:keepLines w:val="0"/>
              <w:pageBreakBefore w:val="0"/>
              <w:kinsoku/>
              <w:overflowPunct/>
              <w:topLinePunct w:val="0"/>
              <w:autoSpaceDE w:val="0"/>
              <w:autoSpaceDN w:val="0"/>
              <w:bidi w:val="0"/>
              <w:adjustRightInd w:val="0"/>
              <w:spacing w:line="3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1943" w:type="dxa"/>
            <w:tcBorders>
              <w:top w:val="single" w:color="auto" w:sz="6" w:space="0"/>
              <w:left w:val="single" w:color="auto" w:sz="6" w:space="0"/>
              <w:bottom w:val="single" w:color="auto" w:sz="6" w:space="0"/>
              <w:right w:val="single" w:color="auto" w:sz="6" w:space="0"/>
              <w:tl2br w:val="nil"/>
              <w:tr2bl w:val="nil"/>
            </w:tcBorders>
            <w:vAlign w:val="center"/>
          </w:tcPr>
          <w:p w14:paraId="2A41B8BE">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履约保证金</w:t>
            </w:r>
          </w:p>
        </w:tc>
        <w:tc>
          <w:tcPr>
            <w:tcW w:w="6617" w:type="dxa"/>
            <w:tcBorders>
              <w:top w:val="single" w:color="auto" w:sz="6" w:space="0"/>
              <w:left w:val="single" w:color="auto" w:sz="6" w:space="0"/>
              <w:bottom w:val="single" w:color="auto" w:sz="6" w:space="0"/>
              <w:right w:val="single" w:color="auto" w:sz="6" w:space="0"/>
              <w:tl2br w:val="nil"/>
              <w:tr2bl w:val="nil"/>
            </w:tcBorders>
            <w:vAlign w:val="center"/>
          </w:tcPr>
          <w:p w14:paraId="4ACBA950">
            <w:pPr>
              <w:pStyle w:val="9"/>
              <w:keepNext w:val="0"/>
              <w:keepLines w:val="0"/>
              <w:pageBreakBefore w:val="0"/>
              <w:widowControl w:val="0"/>
              <w:numPr>
                <w:ilvl w:val="0"/>
                <w:numId w:val="0"/>
              </w:numPr>
              <w:kinsoku/>
              <w:wordWrap/>
              <w:overflowPunct/>
              <w:topLinePunct w:val="0"/>
              <w:bidi w:val="0"/>
              <w:snapToGrid/>
              <w:spacing w:line="380" w:lineRule="exac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成交价的1%</w:t>
            </w:r>
          </w:p>
        </w:tc>
      </w:tr>
      <w:tr w14:paraId="267DFC6A">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340" w:hRule="atLeast"/>
          <w:jc w:val="center"/>
        </w:trPr>
        <w:tc>
          <w:tcPr>
            <w:tcW w:w="751" w:type="dxa"/>
            <w:tcBorders>
              <w:top w:val="single" w:color="auto" w:sz="6" w:space="0"/>
              <w:left w:val="single" w:color="auto" w:sz="6" w:space="0"/>
              <w:bottom w:val="single" w:color="auto" w:sz="6" w:space="0"/>
              <w:right w:val="single" w:color="auto" w:sz="6" w:space="0"/>
              <w:tl2br w:val="nil"/>
              <w:tr2bl w:val="nil"/>
            </w:tcBorders>
            <w:vAlign w:val="center"/>
          </w:tcPr>
          <w:p w14:paraId="1072A0FF">
            <w:pPr>
              <w:keepNext w:val="0"/>
              <w:keepLines w:val="0"/>
              <w:pageBreakBefore w:val="0"/>
              <w:kinsoku/>
              <w:overflowPunct/>
              <w:topLinePunct w:val="0"/>
              <w:autoSpaceDE w:val="0"/>
              <w:autoSpaceDN w:val="0"/>
              <w:bidi w:val="0"/>
              <w:adjustRightInd w:val="0"/>
              <w:spacing w:line="3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1943" w:type="dxa"/>
            <w:tcBorders>
              <w:top w:val="single" w:color="auto" w:sz="6" w:space="0"/>
              <w:left w:val="single" w:color="auto" w:sz="6" w:space="0"/>
              <w:bottom w:val="single" w:color="auto" w:sz="6" w:space="0"/>
              <w:right w:val="single" w:color="auto" w:sz="6" w:space="0"/>
              <w:tl2br w:val="nil"/>
              <w:tr2bl w:val="nil"/>
            </w:tcBorders>
            <w:vAlign w:val="center"/>
          </w:tcPr>
          <w:p w14:paraId="249C3751">
            <w:pPr>
              <w:keepNext w:val="0"/>
              <w:keepLines w:val="0"/>
              <w:pageBreakBefore w:val="0"/>
              <w:kinsoku/>
              <w:overflowPunct/>
              <w:topLinePunct w:val="0"/>
              <w:autoSpaceDE w:val="0"/>
              <w:autoSpaceDN w:val="0"/>
              <w:bidi w:val="0"/>
              <w:adjustRightInd w:val="0"/>
              <w:spacing w:line="3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磋商文件获取</w:t>
            </w:r>
          </w:p>
        </w:tc>
        <w:tc>
          <w:tcPr>
            <w:tcW w:w="6617" w:type="dxa"/>
            <w:tcBorders>
              <w:top w:val="single" w:color="auto" w:sz="6" w:space="0"/>
              <w:left w:val="single" w:color="auto" w:sz="6" w:space="0"/>
              <w:bottom w:val="single" w:color="auto" w:sz="6" w:space="0"/>
              <w:right w:val="single" w:color="auto" w:sz="6" w:space="0"/>
              <w:tl2br w:val="nil"/>
              <w:tr2bl w:val="nil"/>
            </w:tcBorders>
            <w:vAlign w:val="center"/>
          </w:tcPr>
          <w:p w14:paraId="07981747">
            <w:pPr>
              <w:keepNext w:val="0"/>
              <w:keepLines w:val="0"/>
              <w:pageBreakBefore w:val="0"/>
              <w:kinsoku/>
              <w:wordWrap w:val="0"/>
              <w:overflowPunct/>
              <w:topLinePunct w:val="0"/>
              <w:autoSpaceDE w:val="0"/>
              <w:autoSpaceDN w:val="0"/>
              <w:bidi w:val="0"/>
              <w:adjustRightInd w:val="0"/>
              <w:spacing w:line="38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供应商登</w:t>
            </w:r>
            <w:r>
              <w:rPr>
                <w:rFonts w:hint="eastAsia" w:ascii="仿宋" w:hAnsi="仿宋" w:eastAsia="仿宋" w:cs="仿宋"/>
                <w:color w:val="auto"/>
                <w:sz w:val="24"/>
                <w:szCs w:val="24"/>
                <w:highlight w:val="none"/>
                <w:lang w:val="en-US" w:eastAsia="zh-CN"/>
              </w:rPr>
              <w:t>录</w:t>
            </w:r>
            <w:r>
              <w:rPr>
                <w:rFonts w:hint="eastAsia" w:ascii="仿宋" w:hAnsi="仿宋" w:eastAsia="仿宋" w:cs="仿宋"/>
                <w:color w:val="auto"/>
                <w:sz w:val="24"/>
                <w:szCs w:val="24"/>
                <w:highlight w:val="none"/>
              </w:rPr>
              <w:t>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tc>
      </w:tr>
      <w:tr w14:paraId="6FE14E60">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340" w:hRule="atLeast"/>
          <w:jc w:val="center"/>
        </w:trPr>
        <w:tc>
          <w:tcPr>
            <w:tcW w:w="751" w:type="dxa"/>
            <w:tcBorders>
              <w:top w:val="single" w:color="auto" w:sz="6" w:space="0"/>
              <w:left w:val="single" w:color="auto" w:sz="6" w:space="0"/>
              <w:bottom w:val="single" w:color="auto" w:sz="6" w:space="0"/>
              <w:right w:val="single" w:color="auto" w:sz="6" w:space="0"/>
              <w:tl2br w:val="nil"/>
              <w:tr2bl w:val="nil"/>
            </w:tcBorders>
            <w:vAlign w:val="center"/>
          </w:tcPr>
          <w:p w14:paraId="19D36513">
            <w:pPr>
              <w:keepNext w:val="0"/>
              <w:keepLines w:val="0"/>
              <w:pageBreakBefore w:val="0"/>
              <w:kinsoku/>
              <w:overflowPunct/>
              <w:topLinePunct w:val="0"/>
              <w:autoSpaceDE w:val="0"/>
              <w:autoSpaceDN w:val="0"/>
              <w:bidi w:val="0"/>
              <w:adjustRightInd w:val="0"/>
              <w:spacing w:line="3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1943" w:type="dxa"/>
            <w:tcBorders>
              <w:top w:val="single" w:color="auto" w:sz="6" w:space="0"/>
              <w:left w:val="single" w:color="auto" w:sz="6" w:space="0"/>
              <w:bottom w:val="single" w:color="auto" w:sz="6" w:space="0"/>
              <w:right w:val="single" w:color="auto" w:sz="6" w:space="0"/>
              <w:tl2br w:val="nil"/>
              <w:tr2bl w:val="nil"/>
            </w:tcBorders>
            <w:vAlign w:val="center"/>
          </w:tcPr>
          <w:p w14:paraId="2E9A2897">
            <w:pPr>
              <w:keepNext w:val="0"/>
              <w:keepLines w:val="0"/>
              <w:pageBreakBefore w:val="0"/>
              <w:kinsoku/>
              <w:overflowPunct/>
              <w:topLinePunct w:val="0"/>
              <w:autoSpaceDE w:val="0"/>
              <w:autoSpaceDN w:val="0"/>
              <w:bidi w:val="0"/>
              <w:adjustRightInd w:val="0"/>
              <w:spacing w:line="3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响应文件份数</w:t>
            </w:r>
          </w:p>
        </w:tc>
        <w:tc>
          <w:tcPr>
            <w:tcW w:w="6617" w:type="dxa"/>
            <w:tcBorders>
              <w:top w:val="single" w:color="auto" w:sz="6" w:space="0"/>
              <w:left w:val="single" w:color="auto" w:sz="6" w:space="0"/>
              <w:bottom w:val="single" w:color="auto" w:sz="6" w:space="0"/>
              <w:right w:val="single" w:color="auto" w:sz="6" w:space="0"/>
              <w:tl2br w:val="nil"/>
              <w:tr2bl w:val="nil"/>
            </w:tcBorders>
            <w:vAlign w:val="center"/>
          </w:tcPr>
          <w:p w14:paraId="106A579A">
            <w:pPr>
              <w:keepNext w:val="0"/>
              <w:keepLines w:val="0"/>
              <w:pageBreakBefore w:val="0"/>
              <w:kinsoku/>
              <w:overflowPunct/>
              <w:topLinePunct w:val="0"/>
              <w:autoSpaceDE w:val="0"/>
              <w:autoSpaceDN w:val="0"/>
              <w:bidi w:val="0"/>
              <w:adjustRightInd w:val="0"/>
              <w:spacing w:line="38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p>
        </w:tc>
      </w:tr>
      <w:tr w14:paraId="3EFF7D32">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340" w:hRule="atLeast"/>
          <w:jc w:val="center"/>
        </w:trPr>
        <w:tc>
          <w:tcPr>
            <w:tcW w:w="751" w:type="dxa"/>
            <w:tcBorders>
              <w:top w:val="single" w:color="auto" w:sz="6" w:space="0"/>
              <w:left w:val="single" w:color="auto" w:sz="6" w:space="0"/>
              <w:bottom w:val="single" w:color="auto" w:sz="6" w:space="0"/>
              <w:right w:val="single" w:color="auto" w:sz="6" w:space="0"/>
              <w:tl2br w:val="nil"/>
              <w:tr2bl w:val="nil"/>
            </w:tcBorders>
            <w:vAlign w:val="center"/>
          </w:tcPr>
          <w:p w14:paraId="59C7ACD3">
            <w:pPr>
              <w:keepNext w:val="0"/>
              <w:keepLines w:val="0"/>
              <w:pageBreakBefore w:val="0"/>
              <w:kinsoku/>
              <w:wordWrap/>
              <w:overflowPunct/>
              <w:topLinePunct w:val="0"/>
              <w:autoSpaceDE w:val="0"/>
              <w:autoSpaceDN w:val="0"/>
              <w:bidi w:val="0"/>
              <w:adjustRightInd w:val="0"/>
              <w:snapToGrid/>
              <w:spacing w:line="3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1943" w:type="dxa"/>
            <w:tcBorders>
              <w:top w:val="single" w:color="auto" w:sz="6" w:space="0"/>
              <w:left w:val="single" w:color="auto" w:sz="6" w:space="0"/>
              <w:bottom w:val="single" w:color="auto" w:sz="6" w:space="0"/>
              <w:right w:val="single" w:color="auto" w:sz="6" w:space="0"/>
              <w:tl2br w:val="nil"/>
              <w:tr2bl w:val="nil"/>
            </w:tcBorders>
            <w:vAlign w:val="center"/>
          </w:tcPr>
          <w:p w14:paraId="12F8EEC3">
            <w:pPr>
              <w:keepNext w:val="0"/>
              <w:keepLines w:val="0"/>
              <w:pageBreakBefore w:val="0"/>
              <w:kinsoku/>
              <w:overflowPunct/>
              <w:topLinePunct w:val="0"/>
              <w:autoSpaceDE w:val="0"/>
              <w:autoSpaceDN w:val="0"/>
              <w:bidi w:val="0"/>
              <w:adjustRightInd w:val="0"/>
              <w:spacing w:line="3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开标时间</w:t>
            </w:r>
          </w:p>
        </w:tc>
        <w:tc>
          <w:tcPr>
            <w:tcW w:w="6617" w:type="dxa"/>
            <w:tcBorders>
              <w:top w:val="single" w:color="auto" w:sz="6" w:space="0"/>
              <w:left w:val="single" w:color="auto" w:sz="6" w:space="0"/>
              <w:bottom w:val="single" w:color="auto" w:sz="6" w:space="0"/>
              <w:right w:val="single" w:color="auto" w:sz="6" w:space="0"/>
              <w:tl2br w:val="nil"/>
              <w:tr2bl w:val="nil"/>
            </w:tcBorders>
            <w:vAlign w:val="center"/>
          </w:tcPr>
          <w:p w14:paraId="0237615B">
            <w:pPr>
              <w:keepNext w:val="0"/>
              <w:keepLines w:val="0"/>
              <w:pageBreakBefore w:val="0"/>
              <w:kinsoku/>
              <w:overflowPunct/>
              <w:topLinePunct w:val="0"/>
              <w:autoSpaceDE w:val="0"/>
              <w:autoSpaceDN w:val="0"/>
              <w:bidi w:val="0"/>
              <w:adjustRightInd w:val="0"/>
              <w:spacing w:line="380" w:lineRule="exact"/>
              <w:jc w:val="both"/>
              <w:textAlignment w:val="auto"/>
              <w:rPr>
                <w:rFonts w:hint="eastAsia" w:ascii="仿宋" w:hAnsi="仿宋" w:eastAsia="仿宋" w:cs="仿宋"/>
                <w:b/>
                <w:color w:val="auto"/>
                <w:sz w:val="24"/>
                <w:szCs w:val="24"/>
                <w:highlight w:val="none"/>
              </w:rPr>
            </w:pPr>
            <w:bookmarkStart w:id="1" w:name="OLE_LINK76"/>
            <w:r>
              <w:rPr>
                <w:rFonts w:hint="eastAsia" w:ascii="仿宋" w:hAnsi="仿宋" w:eastAsia="仿宋" w:cs="仿宋"/>
                <w:bCs/>
                <w:color w:val="auto"/>
                <w:sz w:val="24"/>
                <w:szCs w:val="24"/>
                <w:highlight w:val="none"/>
                <w:shd w:val="clear" w:color="auto" w:fill="FFFFFF"/>
              </w:rPr>
              <w:t>202</w:t>
            </w:r>
            <w:r>
              <w:rPr>
                <w:rFonts w:hint="eastAsia" w:ascii="仿宋" w:hAnsi="仿宋" w:eastAsia="仿宋" w:cs="仿宋"/>
                <w:bCs/>
                <w:color w:val="auto"/>
                <w:sz w:val="24"/>
                <w:szCs w:val="24"/>
                <w:highlight w:val="none"/>
                <w:shd w:val="clear" w:color="auto" w:fill="FFFFFF"/>
                <w:lang w:val="en-US" w:eastAsia="zh-CN"/>
              </w:rPr>
              <w:t>6</w:t>
            </w:r>
            <w:r>
              <w:rPr>
                <w:rFonts w:hint="eastAsia" w:ascii="仿宋" w:hAnsi="仿宋" w:eastAsia="仿宋" w:cs="仿宋"/>
                <w:bCs/>
                <w:color w:val="auto"/>
                <w:sz w:val="24"/>
                <w:szCs w:val="24"/>
                <w:highlight w:val="none"/>
                <w:shd w:val="clear" w:color="auto" w:fill="FFFFFF"/>
              </w:rPr>
              <w:t>年</w:t>
            </w:r>
            <w:r>
              <w:rPr>
                <w:rFonts w:hint="eastAsia" w:ascii="仿宋" w:hAnsi="仿宋" w:eastAsia="仿宋" w:cs="仿宋"/>
                <w:bCs/>
                <w:color w:val="auto"/>
                <w:sz w:val="24"/>
                <w:szCs w:val="24"/>
                <w:highlight w:val="none"/>
                <w:shd w:val="clear" w:color="auto" w:fill="FFFFFF"/>
                <w:lang w:val="en-US" w:eastAsia="zh-CN"/>
              </w:rPr>
              <w:t>5</w:t>
            </w:r>
            <w:r>
              <w:rPr>
                <w:rFonts w:hint="eastAsia" w:ascii="仿宋" w:hAnsi="仿宋" w:eastAsia="仿宋" w:cs="仿宋"/>
                <w:bCs/>
                <w:color w:val="auto"/>
                <w:sz w:val="24"/>
                <w:szCs w:val="24"/>
                <w:highlight w:val="none"/>
                <w:shd w:val="clear" w:color="auto" w:fill="FFFFFF"/>
              </w:rPr>
              <w:t>月</w:t>
            </w:r>
            <w:r>
              <w:rPr>
                <w:rFonts w:hint="eastAsia" w:ascii="仿宋" w:hAnsi="仿宋" w:eastAsia="仿宋" w:cs="仿宋"/>
                <w:bCs/>
                <w:color w:val="auto"/>
                <w:sz w:val="24"/>
                <w:szCs w:val="24"/>
                <w:highlight w:val="none"/>
                <w:shd w:val="clear" w:color="auto" w:fill="FFFFFF"/>
                <w:lang w:val="en-US" w:eastAsia="zh-CN"/>
              </w:rPr>
              <w:t>15</w:t>
            </w:r>
            <w:r>
              <w:rPr>
                <w:rFonts w:hint="eastAsia" w:ascii="仿宋" w:hAnsi="仿宋" w:eastAsia="仿宋" w:cs="仿宋"/>
                <w:bCs/>
                <w:color w:val="auto"/>
                <w:sz w:val="24"/>
                <w:szCs w:val="24"/>
                <w:highlight w:val="none"/>
                <w:shd w:val="clear" w:color="auto" w:fill="FFFFFF"/>
              </w:rPr>
              <w:t>日09点00分</w:t>
            </w:r>
            <w:r>
              <w:rPr>
                <w:rFonts w:hint="eastAsia" w:ascii="仿宋" w:hAnsi="仿宋" w:eastAsia="仿宋" w:cs="仿宋"/>
                <w:b/>
                <w:color w:val="auto"/>
                <w:sz w:val="24"/>
                <w:szCs w:val="24"/>
                <w:highlight w:val="none"/>
              </w:rPr>
              <w:t>（北京时间）</w:t>
            </w:r>
          </w:p>
          <w:p w14:paraId="49941BB3">
            <w:pPr>
              <w:keepNext w:val="0"/>
              <w:keepLines w:val="0"/>
              <w:pageBreakBefore w:val="0"/>
              <w:kinsoku/>
              <w:overflowPunct/>
              <w:topLinePunct w:val="0"/>
              <w:autoSpaceDE w:val="0"/>
              <w:autoSpaceDN w:val="0"/>
              <w:bidi w:val="0"/>
              <w:adjustRightInd w:val="0"/>
              <w:spacing w:line="380" w:lineRule="exact"/>
              <w:jc w:val="both"/>
              <w:textAlignment w:val="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淮安市公共资源交易中心盱眙分中心204开标室（江苏省政府采购一体化不见面开标（采购）大厅）</w:t>
            </w:r>
            <w:bookmarkEnd w:id="1"/>
          </w:p>
        </w:tc>
      </w:tr>
      <w:tr w14:paraId="12FF224D">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340" w:hRule="atLeast"/>
          <w:jc w:val="center"/>
        </w:trPr>
        <w:tc>
          <w:tcPr>
            <w:tcW w:w="751" w:type="dxa"/>
            <w:tcBorders>
              <w:top w:val="single" w:color="auto" w:sz="6" w:space="0"/>
              <w:left w:val="single" w:color="auto" w:sz="6" w:space="0"/>
              <w:bottom w:val="single" w:color="auto" w:sz="6" w:space="0"/>
              <w:right w:val="single" w:color="auto" w:sz="6" w:space="0"/>
              <w:tl2br w:val="nil"/>
              <w:tr2bl w:val="nil"/>
            </w:tcBorders>
            <w:vAlign w:val="center"/>
          </w:tcPr>
          <w:p w14:paraId="2556469E">
            <w:pPr>
              <w:keepNext w:val="0"/>
              <w:keepLines w:val="0"/>
              <w:pageBreakBefore w:val="0"/>
              <w:kinsoku/>
              <w:overflowPunct/>
              <w:topLinePunct w:val="0"/>
              <w:autoSpaceDE w:val="0"/>
              <w:autoSpaceDN w:val="0"/>
              <w:bidi w:val="0"/>
              <w:adjustRightInd w:val="0"/>
              <w:spacing w:line="3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11</w:t>
            </w:r>
          </w:p>
        </w:tc>
        <w:tc>
          <w:tcPr>
            <w:tcW w:w="1943" w:type="dxa"/>
            <w:tcBorders>
              <w:top w:val="single" w:color="auto" w:sz="6" w:space="0"/>
              <w:left w:val="single" w:color="auto" w:sz="6" w:space="0"/>
              <w:bottom w:val="single" w:color="auto" w:sz="6" w:space="0"/>
              <w:right w:val="single" w:color="auto" w:sz="6" w:space="0"/>
              <w:tl2br w:val="nil"/>
              <w:tr2bl w:val="nil"/>
            </w:tcBorders>
            <w:vAlign w:val="center"/>
          </w:tcPr>
          <w:p w14:paraId="748A250F">
            <w:pPr>
              <w:keepNext w:val="0"/>
              <w:keepLines w:val="0"/>
              <w:pageBreakBefore w:val="0"/>
              <w:kinsoku/>
              <w:overflowPunct/>
              <w:topLinePunct w:val="0"/>
              <w:autoSpaceDE w:val="0"/>
              <w:autoSpaceDN w:val="0"/>
              <w:bidi w:val="0"/>
              <w:adjustRightInd w:val="0"/>
              <w:spacing w:line="3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代理服务费</w:t>
            </w:r>
          </w:p>
        </w:tc>
        <w:tc>
          <w:tcPr>
            <w:tcW w:w="6617" w:type="dxa"/>
            <w:tcBorders>
              <w:top w:val="single" w:color="auto" w:sz="6" w:space="0"/>
              <w:left w:val="single" w:color="auto" w:sz="6" w:space="0"/>
              <w:bottom w:val="single" w:color="auto" w:sz="6" w:space="0"/>
              <w:right w:val="single" w:color="auto" w:sz="6" w:space="0"/>
              <w:tl2br w:val="nil"/>
              <w:tr2bl w:val="nil"/>
            </w:tcBorders>
            <w:vAlign w:val="center"/>
          </w:tcPr>
          <w:p w14:paraId="7AB8D335">
            <w:pPr>
              <w:keepNext w:val="0"/>
              <w:keepLines w:val="0"/>
              <w:pageBreakBefore w:val="0"/>
              <w:kinsoku/>
              <w:overflowPunct/>
              <w:topLinePunct w:val="0"/>
              <w:autoSpaceDE w:val="0"/>
              <w:autoSpaceDN w:val="0"/>
              <w:bidi w:val="0"/>
              <w:adjustRightInd w:val="0"/>
              <w:spacing w:line="380" w:lineRule="exact"/>
              <w:jc w:val="both"/>
              <w:textAlignment w:val="auto"/>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本项目代理费费参照苏政采协[2024]20号关于印发《江苏省政府采购代理服务收费指导意见》的通知优惠收取8866元</w:t>
            </w:r>
            <w:r>
              <w:rPr>
                <w:rFonts w:hint="eastAsia" w:ascii="仿宋" w:hAnsi="仿宋" w:eastAsia="仿宋" w:cs="仿宋"/>
                <w:color w:val="auto"/>
                <w:sz w:val="24"/>
                <w:szCs w:val="24"/>
                <w:highlight w:val="none"/>
                <w:lang w:eastAsia="zh-CN"/>
              </w:rPr>
              <w:t>，由成交供应商在成交通知书发出</w:t>
            </w:r>
            <w:r>
              <w:rPr>
                <w:rFonts w:hint="eastAsia" w:ascii="仿宋" w:hAnsi="仿宋" w:eastAsia="仿宋" w:cs="仿宋"/>
                <w:color w:val="auto"/>
                <w:sz w:val="24"/>
                <w:szCs w:val="24"/>
                <w:highlight w:val="none"/>
                <w:lang w:val="en-US" w:eastAsia="zh-CN"/>
              </w:rPr>
              <w:t>后</w:t>
            </w:r>
            <w:r>
              <w:rPr>
                <w:rFonts w:hint="eastAsia" w:ascii="仿宋" w:hAnsi="仿宋" w:eastAsia="仿宋" w:cs="仿宋"/>
                <w:color w:val="auto"/>
                <w:sz w:val="24"/>
                <w:szCs w:val="24"/>
                <w:highlight w:val="none"/>
                <w:lang w:eastAsia="zh-CN"/>
              </w:rPr>
              <w:t>向采购代理机构一次性付清。因此供应商在报价时须将代理服务费用等包含在响应报价中，但无需单独列项计取（</w:t>
            </w:r>
            <w:r>
              <w:rPr>
                <w:rFonts w:hint="eastAsia" w:ascii="仿宋" w:hAnsi="仿宋" w:eastAsia="仿宋" w:cs="仿宋"/>
                <w:color w:val="auto"/>
                <w:sz w:val="24"/>
                <w:szCs w:val="24"/>
                <w:highlight w:val="none"/>
                <w:lang w:val="en-US" w:eastAsia="zh-CN"/>
              </w:rPr>
              <w:t>采用数字人民币支付）</w:t>
            </w:r>
          </w:p>
        </w:tc>
      </w:tr>
      <w:tr w14:paraId="4676DB3A">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340" w:hRule="atLeast"/>
          <w:jc w:val="center"/>
        </w:trPr>
        <w:tc>
          <w:tcPr>
            <w:tcW w:w="751" w:type="dxa"/>
            <w:tcBorders>
              <w:top w:val="single" w:color="auto" w:sz="6" w:space="0"/>
              <w:left w:val="single" w:color="auto" w:sz="6" w:space="0"/>
              <w:bottom w:val="single" w:color="auto" w:sz="6" w:space="0"/>
              <w:right w:val="single" w:color="auto" w:sz="6" w:space="0"/>
              <w:tl2br w:val="nil"/>
              <w:tr2bl w:val="nil"/>
            </w:tcBorders>
            <w:vAlign w:val="center"/>
          </w:tcPr>
          <w:p w14:paraId="02EFDF74">
            <w:pPr>
              <w:keepNext w:val="0"/>
              <w:keepLines w:val="0"/>
              <w:pageBreakBefore w:val="0"/>
              <w:kinsoku/>
              <w:wordWrap/>
              <w:overflowPunct/>
              <w:topLinePunct w:val="0"/>
              <w:autoSpaceDE w:val="0"/>
              <w:autoSpaceDN w:val="0"/>
              <w:bidi w:val="0"/>
              <w:adjustRightInd w:val="0"/>
              <w:snapToGrid/>
              <w:spacing w:line="3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12</w:t>
            </w:r>
          </w:p>
        </w:tc>
        <w:tc>
          <w:tcPr>
            <w:tcW w:w="1943" w:type="dxa"/>
            <w:tcBorders>
              <w:top w:val="single" w:color="auto" w:sz="6" w:space="0"/>
              <w:left w:val="single" w:color="auto" w:sz="6" w:space="0"/>
              <w:bottom w:val="single" w:color="auto" w:sz="6" w:space="0"/>
              <w:right w:val="single" w:color="auto" w:sz="6" w:space="0"/>
              <w:tl2br w:val="nil"/>
              <w:tr2bl w:val="nil"/>
            </w:tcBorders>
            <w:vAlign w:val="center"/>
          </w:tcPr>
          <w:p w14:paraId="021776D9">
            <w:pPr>
              <w:keepNext w:val="0"/>
              <w:keepLines w:val="0"/>
              <w:pageBreakBefore w:val="0"/>
              <w:kinsoku/>
              <w:overflowPunct/>
              <w:topLinePunct w:val="0"/>
              <w:autoSpaceDE w:val="0"/>
              <w:autoSpaceDN w:val="0"/>
              <w:bidi w:val="0"/>
              <w:adjustRightInd w:val="0"/>
              <w:spacing w:line="3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中标通知书领取</w:t>
            </w:r>
          </w:p>
        </w:tc>
        <w:tc>
          <w:tcPr>
            <w:tcW w:w="6617" w:type="dxa"/>
            <w:tcBorders>
              <w:top w:val="single" w:color="auto" w:sz="6" w:space="0"/>
              <w:left w:val="single" w:color="auto" w:sz="6" w:space="0"/>
              <w:bottom w:val="single" w:color="auto" w:sz="6" w:space="0"/>
              <w:right w:val="single" w:color="auto" w:sz="6" w:space="0"/>
              <w:tl2br w:val="nil"/>
              <w:tr2bl w:val="nil"/>
            </w:tcBorders>
            <w:vAlign w:val="center"/>
          </w:tcPr>
          <w:p w14:paraId="70494AA3">
            <w:pPr>
              <w:keepNext w:val="0"/>
              <w:keepLines w:val="0"/>
              <w:pageBreakBefore w:val="0"/>
              <w:kinsoku/>
              <w:overflowPunct/>
              <w:topLinePunct w:val="0"/>
              <w:autoSpaceDE w:val="0"/>
              <w:autoSpaceDN w:val="0"/>
              <w:bidi w:val="0"/>
              <w:adjustRightInd w:val="0"/>
              <w:spacing w:line="38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代理机构</w:t>
            </w:r>
            <w:r>
              <w:rPr>
                <w:rFonts w:hint="eastAsia" w:ascii="仿宋" w:hAnsi="仿宋" w:eastAsia="仿宋" w:cs="仿宋"/>
                <w:color w:val="auto"/>
                <w:sz w:val="24"/>
                <w:szCs w:val="24"/>
                <w:highlight w:val="none"/>
                <w:lang w:val="en-US" w:eastAsia="zh-CN"/>
              </w:rPr>
              <w:t>处</w:t>
            </w:r>
            <w:r>
              <w:rPr>
                <w:rFonts w:hint="eastAsia" w:ascii="仿宋" w:hAnsi="仿宋" w:eastAsia="仿宋" w:cs="仿宋"/>
                <w:color w:val="auto"/>
                <w:sz w:val="24"/>
                <w:szCs w:val="24"/>
                <w:highlight w:val="none"/>
              </w:rPr>
              <w:t>领取</w:t>
            </w:r>
          </w:p>
        </w:tc>
      </w:tr>
      <w:tr w14:paraId="07012895">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340" w:hRule="atLeast"/>
          <w:jc w:val="center"/>
        </w:trPr>
        <w:tc>
          <w:tcPr>
            <w:tcW w:w="751" w:type="dxa"/>
            <w:tcBorders>
              <w:top w:val="single" w:color="auto" w:sz="6" w:space="0"/>
              <w:left w:val="single" w:color="auto" w:sz="6" w:space="0"/>
              <w:bottom w:val="single" w:color="auto" w:sz="6" w:space="0"/>
              <w:right w:val="single" w:color="auto" w:sz="6" w:space="0"/>
              <w:tl2br w:val="nil"/>
              <w:tr2bl w:val="nil"/>
            </w:tcBorders>
            <w:vAlign w:val="center"/>
          </w:tcPr>
          <w:p w14:paraId="7BD69BB7">
            <w:pPr>
              <w:keepNext w:val="0"/>
              <w:keepLines w:val="0"/>
              <w:pageBreakBefore w:val="0"/>
              <w:kinsoku/>
              <w:wordWrap/>
              <w:overflowPunct/>
              <w:topLinePunct w:val="0"/>
              <w:autoSpaceDE w:val="0"/>
              <w:autoSpaceDN w:val="0"/>
              <w:bidi w:val="0"/>
              <w:adjustRightInd w:val="0"/>
              <w:snapToGrid/>
              <w:spacing w:line="3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13</w:t>
            </w:r>
          </w:p>
        </w:tc>
        <w:tc>
          <w:tcPr>
            <w:tcW w:w="1943" w:type="dxa"/>
            <w:tcBorders>
              <w:top w:val="single" w:color="auto" w:sz="6" w:space="0"/>
              <w:left w:val="single" w:color="auto" w:sz="6" w:space="0"/>
              <w:bottom w:val="single" w:color="auto" w:sz="6" w:space="0"/>
              <w:right w:val="single" w:color="auto" w:sz="6" w:space="0"/>
              <w:tl2br w:val="nil"/>
              <w:tr2bl w:val="nil"/>
            </w:tcBorders>
            <w:vAlign w:val="center"/>
          </w:tcPr>
          <w:p w14:paraId="4EC17629">
            <w:pPr>
              <w:keepNext w:val="0"/>
              <w:keepLines w:val="0"/>
              <w:pageBreakBefore w:val="0"/>
              <w:kinsoku/>
              <w:wordWrap/>
              <w:overflowPunct/>
              <w:topLinePunct w:val="0"/>
              <w:autoSpaceDE w:val="0"/>
              <w:autoSpaceDN w:val="0"/>
              <w:bidi w:val="0"/>
              <w:adjustRightInd w:val="0"/>
              <w:snapToGrid/>
              <w:spacing w:line="3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资质要求</w:t>
            </w:r>
          </w:p>
        </w:tc>
        <w:tc>
          <w:tcPr>
            <w:tcW w:w="6617" w:type="dxa"/>
            <w:tcBorders>
              <w:top w:val="single" w:color="auto" w:sz="6" w:space="0"/>
              <w:left w:val="single" w:color="auto" w:sz="6" w:space="0"/>
              <w:bottom w:val="single" w:color="auto" w:sz="6" w:space="0"/>
              <w:right w:val="single" w:color="auto" w:sz="6" w:space="0"/>
              <w:tl2br w:val="nil"/>
              <w:tr2bl w:val="nil"/>
            </w:tcBorders>
            <w:vAlign w:val="center"/>
          </w:tcPr>
          <w:p w14:paraId="2896C4CE">
            <w:pPr>
              <w:keepNext w:val="0"/>
              <w:keepLines w:val="0"/>
              <w:pageBreakBefore w:val="0"/>
              <w:kinsoku/>
              <w:wordWrap/>
              <w:overflowPunct/>
              <w:topLinePunct w:val="0"/>
              <w:autoSpaceDE w:val="0"/>
              <w:autoSpaceDN w:val="0"/>
              <w:bidi w:val="0"/>
              <w:adjustRightInd w:val="0"/>
              <w:snapToGrid/>
              <w:spacing w:line="38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详见采购公告要求</w:t>
            </w:r>
          </w:p>
        </w:tc>
      </w:tr>
      <w:tr w14:paraId="0BB38891">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340" w:hRule="atLeast"/>
          <w:jc w:val="center"/>
        </w:trPr>
        <w:tc>
          <w:tcPr>
            <w:tcW w:w="751" w:type="dxa"/>
            <w:tcBorders>
              <w:top w:val="single" w:color="auto" w:sz="6" w:space="0"/>
              <w:left w:val="single" w:color="auto" w:sz="6" w:space="0"/>
              <w:bottom w:val="single" w:color="auto" w:sz="6" w:space="0"/>
              <w:right w:val="single" w:color="auto" w:sz="6" w:space="0"/>
              <w:tl2br w:val="nil"/>
              <w:tr2bl w:val="nil"/>
            </w:tcBorders>
            <w:vAlign w:val="center"/>
          </w:tcPr>
          <w:p w14:paraId="238F8CA4">
            <w:pPr>
              <w:keepNext w:val="0"/>
              <w:keepLines w:val="0"/>
              <w:pageBreakBefore w:val="0"/>
              <w:kinsoku/>
              <w:wordWrap/>
              <w:overflowPunct/>
              <w:topLinePunct w:val="0"/>
              <w:autoSpaceDE w:val="0"/>
              <w:autoSpaceDN w:val="0"/>
              <w:bidi w:val="0"/>
              <w:adjustRightInd w:val="0"/>
              <w:snapToGrid/>
              <w:spacing w:line="3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14</w:t>
            </w:r>
          </w:p>
        </w:tc>
        <w:tc>
          <w:tcPr>
            <w:tcW w:w="1943" w:type="dxa"/>
            <w:tcBorders>
              <w:top w:val="single" w:color="auto" w:sz="6" w:space="0"/>
              <w:left w:val="single" w:color="auto" w:sz="6" w:space="0"/>
              <w:bottom w:val="single" w:color="auto" w:sz="6" w:space="0"/>
              <w:right w:val="single" w:color="auto" w:sz="6" w:space="0"/>
              <w:tl2br w:val="nil"/>
              <w:tr2bl w:val="nil"/>
            </w:tcBorders>
            <w:vAlign w:val="center"/>
          </w:tcPr>
          <w:p w14:paraId="7A5AFEA7">
            <w:pPr>
              <w:keepNext w:val="0"/>
              <w:keepLines w:val="0"/>
              <w:pageBreakBefore w:val="0"/>
              <w:kinsoku/>
              <w:wordWrap/>
              <w:overflowPunct/>
              <w:topLinePunct w:val="0"/>
              <w:autoSpaceDE w:val="0"/>
              <w:autoSpaceDN w:val="0"/>
              <w:bidi w:val="0"/>
              <w:adjustRightInd w:val="0"/>
              <w:snapToGrid/>
              <w:spacing w:line="38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评标方法</w:t>
            </w:r>
          </w:p>
        </w:tc>
        <w:tc>
          <w:tcPr>
            <w:tcW w:w="6617" w:type="dxa"/>
            <w:tcBorders>
              <w:top w:val="single" w:color="auto" w:sz="6" w:space="0"/>
              <w:left w:val="single" w:color="auto" w:sz="6" w:space="0"/>
              <w:bottom w:val="single" w:color="auto" w:sz="6" w:space="0"/>
              <w:right w:val="single" w:color="auto" w:sz="6" w:space="0"/>
              <w:tl2br w:val="nil"/>
              <w:tr2bl w:val="nil"/>
            </w:tcBorders>
            <w:vAlign w:val="center"/>
          </w:tcPr>
          <w:p w14:paraId="4B05CEF9">
            <w:pPr>
              <w:keepNext w:val="0"/>
              <w:keepLines w:val="0"/>
              <w:pageBreakBefore w:val="0"/>
              <w:kinsoku/>
              <w:wordWrap/>
              <w:overflowPunct/>
              <w:topLinePunct w:val="0"/>
              <w:autoSpaceDE w:val="0"/>
              <w:autoSpaceDN w:val="0"/>
              <w:bidi w:val="0"/>
              <w:adjustRightInd w:val="0"/>
              <w:snapToGrid/>
              <w:spacing w:line="380" w:lineRule="exact"/>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综合评分法</w:t>
            </w:r>
          </w:p>
        </w:tc>
      </w:tr>
    </w:tbl>
    <w:p w14:paraId="1B21E797">
      <w:pPr>
        <w:keepNext w:val="0"/>
        <w:keepLines w:val="0"/>
        <w:pageBreakBefore w:val="0"/>
        <w:widowControl/>
        <w:kinsoku/>
        <w:overflowPunct/>
        <w:topLinePunct w:val="0"/>
        <w:bidi w:val="0"/>
        <w:spacing w:after="100" w:afterAutospacing="1" w:line="380" w:lineRule="exact"/>
        <w:jc w:val="both"/>
        <w:textAlignment w:val="auto"/>
        <w:outlineLvl w:val="0"/>
        <w:rPr>
          <w:rFonts w:hint="eastAsia" w:ascii="宋体" w:hAnsi="宋体" w:eastAsia="宋体" w:cs="宋体"/>
          <w:b/>
          <w:color w:val="auto"/>
          <w:sz w:val="30"/>
          <w:szCs w:val="30"/>
          <w:highlight w:val="none"/>
        </w:rPr>
        <w:sectPr>
          <w:footerReference r:id="rId3" w:type="default"/>
          <w:pgSz w:w="11906" w:h="16838"/>
          <w:pgMar w:top="1440" w:right="1474" w:bottom="1440" w:left="1474" w:header="851" w:footer="992" w:gutter="0"/>
          <w:pgBorders>
            <w:top w:val="none" w:sz="0" w:space="0"/>
            <w:left w:val="none" w:sz="0" w:space="0"/>
            <w:bottom w:val="none" w:sz="0" w:space="0"/>
            <w:right w:val="none" w:sz="0" w:space="0"/>
          </w:pgBorders>
          <w:pgNumType w:start="1"/>
          <w:cols w:space="720" w:num="1"/>
          <w:docGrid w:type="lines" w:linePitch="312" w:charSpace="0"/>
        </w:sectPr>
      </w:pPr>
    </w:p>
    <w:p w14:paraId="7F466BE8">
      <w:pPr>
        <w:pageBreakBefore w:val="0"/>
        <w:widowControl/>
        <w:kinsoku/>
        <w:overflowPunct/>
        <w:topLinePunct w:val="0"/>
        <w:bidi w:val="0"/>
        <w:spacing w:after="100" w:afterAutospacing="1" w:line="380" w:lineRule="exact"/>
        <w:jc w:val="center"/>
        <w:outlineLvl w:val="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第一章  磋商邀请</w:t>
      </w:r>
    </w:p>
    <w:p w14:paraId="09B5B735">
      <w:pPr>
        <w:keepNext w:val="0"/>
        <w:keepLines w:val="0"/>
        <w:pageBreakBefore w:val="0"/>
        <w:widowControl w:val="0"/>
        <w:kinsoku/>
        <w:wordWrap/>
        <w:overflowPunct/>
        <w:topLinePunct w:val="0"/>
        <w:autoSpaceDE/>
        <w:autoSpaceDN/>
        <w:bidi w:val="0"/>
        <w:adjustRightInd/>
        <w:snapToGrid/>
        <w:spacing w:line="380" w:lineRule="exact"/>
        <w:ind w:firstLine="482" w:firstLineChars="200"/>
        <w:textAlignment w:val="auto"/>
        <w:rPr>
          <w:rFonts w:hint="eastAsia" w:ascii="仿宋" w:hAnsi="仿宋" w:eastAsia="仿宋" w:cs="仿宋"/>
          <w:b/>
          <w:bCs/>
          <w:color w:val="auto"/>
          <w:sz w:val="24"/>
          <w:szCs w:val="24"/>
          <w:highlight w:val="none"/>
        </w:rPr>
      </w:pPr>
      <w:bookmarkStart w:id="2" w:name="OLE_LINK40"/>
      <w:r>
        <w:rPr>
          <w:rFonts w:hint="eastAsia" w:ascii="仿宋" w:hAnsi="仿宋" w:eastAsia="仿宋" w:cs="仿宋"/>
          <w:b/>
          <w:bCs/>
          <w:color w:val="auto"/>
          <w:sz w:val="24"/>
          <w:szCs w:val="24"/>
          <w:highlight w:val="none"/>
        </w:rPr>
        <w:t>项目概况</w:t>
      </w:r>
    </w:p>
    <w:p w14:paraId="55B72F2A">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盱眙马坝纺织园（振帆地块）电力杆线迁改工程（项目编号JSZC-320830-SXSD-C2026-0013</w:t>
      </w:r>
      <w:r>
        <w:rPr>
          <w:rFonts w:hint="eastAsia" w:ascii="仿宋" w:hAnsi="仿宋" w:eastAsia="仿宋" w:cs="仿宋"/>
          <w:color w:val="auto"/>
          <w:sz w:val="24"/>
          <w:szCs w:val="24"/>
          <w:highlight w:val="none"/>
          <w:lang w:eastAsia="zh-CN"/>
        </w:rPr>
        <w:t>）采购项目的潜在供应商应在</w:t>
      </w:r>
      <w:bookmarkStart w:id="3" w:name="OLE_LINK10"/>
      <w:r>
        <w:rPr>
          <w:rFonts w:hint="eastAsia" w:ascii="仿宋" w:hAnsi="仿宋" w:eastAsia="仿宋" w:cs="仿宋"/>
          <w:color w:val="auto"/>
          <w:sz w:val="24"/>
          <w:szCs w:val="24"/>
          <w:highlight w:val="none"/>
          <w:lang w:eastAsia="zh-CN"/>
        </w:rPr>
        <w:t>江苏省政府采购网</w:t>
      </w:r>
      <w:bookmarkEnd w:id="3"/>
      <w:r>
        <w:rPr>
          <w:rFonts w:hint="eastAsia" w:ascii="仿宋" w:hAnsi="仿宋" w:eastAsia="仿宋" w:cs="仿宋"/>
          <w:color w:val="auto"/>
          <w:sz w:val="24"/>
          <w:szCs w:val="24"/>
          <w:highlight w:val="none"/>
          <w:lang w:eastAsia="zh-CN"/>
        </w:rPr>
        <w:t>或者淮安市政府采购网获取采购文件，并于202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 xml:space="preserve">15 </w:t>
      </w:r>
      <w:r>
        <w:rPr>
          <w:rFonts w:hint="eastAsia" w:ascii="仿宋" w:hAnsi="仿宋" w:eastAsia="仿宋" w:cs="仿宋"/>
          <w:color w:val="auto"/>
          <w:sz w:val="24"/>
          <w:szCs w:val="24"/>
          <w:highlight w:val="none"/>
          <w:lang w:eastAsia="zh-CN"/>
        </w:rPr>
        <w:t>09:00（北京时间）前提交响应文件。</w:t>
      </w:r>
    </w:p>
    <w:p w14:paraId="4316E0D3">
      <w:pPr>
        <w:keepNext w:val="0"/>
        <w:keepLines w:val="0"/>
        <w:pageBreakBefore w:val="0"/>
        <w:widowControl w:val="0"/>
        <w:kinsoku/>
        <w:wordWrap/>
        <w:overflowPunct/>
        <w:topLinePunct w:val="0"/>
        <w:autoSpaceDE/>
        <w:autoSpaceDN/>
        <w:bidi w:val="0"/>
        <w:adjustRightInd/>
        <w:snapToGrid/>
        <w:spacing w:line="38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一、项目基本情况</w:t>
      </w:r>
    </w:p>
    <w:p w14:paraId="608BCFE7">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项目编</w:t>
      </w:r>
      <w:r>
        <w:rPr>
          <w:rFonts w:hint="eastAsia" w:ascii="仿宋" w:hAnsi="仿宋" w:eastAsia="仿宋" w:cs="仿宋"/>
          <w:color w:val="auto"/>
          <w:sz w:val="24"/>
          <w:szCs w:val="24"/>
          <w:highlight w:val="none"/>
          <w:lang w:eastAsia="zh-CN"/>
        </w:rPr>
        <w:t>号</w:t>
      </w:r>
      <w:r>
        <w:rPr>
          <w:rFonts w:hint="eastAsia" w:ascii="仿宋" w:hAnsi="仿宋" w:eastAsia="仿宋" w:cs="仿宋"/>
          <w:color w:val="auto"/>
          <w:sz w:val="24"/>
          <w:szCs w:val="24"/>
          <w:highlight w:val="none"/>
          <w:lang w:eastAsia="zh-CN"/>
        </w:rPr>
        <w:t>：JSZC-320830-SXSD-C2026-0013</w:t>
      </w:r>
    </w:p>
    <w:p w14:paraId="6F0BB940">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盱眙马坝纺织园（振帆地块）电力杆线迁改工程</w:t>
      </w:r>
    </w:p>
    <w:p w14:paraId="2EF025FA">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采购方式</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竞争性磋商</w:t>
      </w:r>
    </w:p>
    <w:p w14:paraId="6823B342">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预算金额</w:t>
      </w:r>
      <w:r>
        <w:rPr>
          <w:rFonts w:hint="eastAsia" w:ascii="仿宋" w:hAnsi="仿宋" w:eastAsia="仿宋" w:cs="仿宋"/>
          <w:bCs/>
          <w:color w:val="auto"/>
          <w:sz w:val="24"/>
          <w:szCs w:val="24"/>
          <w:highlight w:val="none"/>
          <w:lang w:eastAsia="zh-CN"/>
        </w:rPr>
        <w:t>：</w:t>
      </w:r>
      <w:r>
        <w:rPr>
          <w:rFonts w:hint="eastAsia" w:ascii="仿宋" w:hAnsi="仿宋" w:eastAsia="仿宋" w:cs="仿宋"/>
          <w:color w:val="auto"/>
          <w:sz w:val="24"/>
          <w:szCs w:val="24"/>
          <w:highlight w:val="none"/>
          <w:lang w:val="en-US" w:eastAsia="zh-CN"/>
        </w:rPr>
        <w:t>292.2万元</w:t>
      </w:r>
      <w:r>
        <w:rPr>
          <w:rFonts w:hint="eastAsia" w:ascii="仿宋" w:hAnsi="仿宋" w:eastAsia="仿宋" w:cs="仿宋"/>
          <w:color w:val="auto"/>
          <w:sz w:val="24"/>
          <w:szCs w:val="24"/>
          <w:highlight w:val="none"/>
        </w:rPr>
        <w:t>；</w:t>
      </w:r>
    </w:p>
    <w:p w14:paraId="3DA9B4DD">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最高限价</w:t>
      </w:r>
      <w:r>
        <w:rPr>
          <w:rFonts w:hint="eastAsia" w:ascii="仿宋" w:hAnsi="仿宋" w:eastAsia="仿宋" w:cs="仿宋"/>
          <w:bCs/>
          <w:color w:val="auto"/>
          <w:sz w:val="24"/>
          <w:szCs w:val="24"/>
          <w:highlight w:val="none"/>
          <w:lang w:eastAsia="zh-CN"/>
        </w:rPr>
        <w:t>：</w:t>
      </w:r>
      <w:r>
        <w:rPr>
          <w:rFonts w:hint="eastAsia" w:ascii="仿宋" w:hAnsi="仿宋" w:eastAsia="仿宋" w:cs="仿宋"/>
          <w:color w:val="auto"/>
          <w:sz w:val="24"/>
          <w:szCs w:val="24"/>
          <w:highlight w:val="none"/>
          <w:lang w:val="en-US" w:eastAsia="zh-CN"/>
        </w:rPr>
        <w:t>292.2万元</w:t>
      </w:r>
      <w:r>
        <w:rPr>
          <w:rFonts w:hint="eastAsia" w:ascii="仿宋" w:hAnsi="仿宋" w:eastAsia="仿宋" w:cs="仿宋"/>
          <w:color w:val="auto"/>
          <w:sz w:val="24"/>
          <w:szCs w:val="24"/>
          <w:highlight w:val="none"/>
        </w:rPr>
        <w:t>；</w:t>
      </w:r>
    </w:p>
    <w:p w14:paraId="285A3964">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采购需求</w:t>
      </w:r>
      <w:r>
        <w:rPr>
          <w:rFonts w:hint="eastAsia" w:ascii="仿宋" w:hAnsi="仿宋" w:eastAsia="仿宋" w:cs="仿宋"/>
          <w:color w:val="auto"/>
          <w:sz w:val="24"/>
          <w:szCs w:val="24"/>
          <w:highlight w:val="none"/>
        </w:rPr>
        <w:t>：</w:t>
      </w:r>
      <w:bookmarkStart w:id="4" w:name="OLE_LINK43"/>
      <w:bookmarkStart w:id="5" w:name="OLE_LINK73"/>
      <w:r>
        <w:rPr>
          <w:rFonts w:hint="eastAsia" w:ascii="仿宋" w:hAnsi="仿宋" w:eastAsia="仿宋" w:cs="仿宋"/>
          <w:color w:val="auto"/>
          <w:sz w:val="24"/>
          <w:szCs w:val="24"/>
          <w:highlight w:val="none"/>
          <w:lang w:eastAsia="zh-CN"/>
        </w:rPr>
        <w:t>盱眙马坝纺织园（振帆地块）电力杆线迁改工程，</w:t>
      </w:r>
      <w:r>
        <w:rPr>
          <w:rFonts w:hint="eastAsia" w:ascii="仿宋" w:hAnsi="仿宋" w:eastAsia="仿宋" w:cs="仿宋"/>
          <w:color w:val="auto"/>
          <w:sz w:val="24"/>
          <w:szCs w:val="24"/>
          <w:highlight w:val="none"/>
        </w:rPr>
        <w:t>具体详见磋商文件第</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rPr>
        <w:t>章项目采购需求</w:t>
      </w:r>
      <w:bookmarkEnd w:id="4"/>
      <w:r>
        <w:rPr>
          <w:rFonts w:hint="eastAsia" w:ascii="仿宋" w:hAnsi="仿宋" w:eastAsia="仿宋" w:cs="仿宋"/>
          <w:color w:val="auto"/>
          <w:sz w:val="24"/>
          <w:szCs w:val="24"/>
          <w:highlight w:val="none"/>
        </w:rPr>
        <w:t>；</w:t>
      </w:r>
      <w:bookmarkEnd w:id="5"/>
    </w:p>
    <w:p w14:paraId="6630385C">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合同履行期限</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60日历天</w:t>
      </w:r>
      <w:r>
        <w:rPr>
          <w:rFonts w:hint="eastAsia" w:ascii="仿宋" w:hAnsi="仿宋" w:eastAsia="仿宋" w:cs="仿宋"/>
          <w:color w:val="auto"/>
          <w:sz w:val="24"/>
          <w:szCs w:val="24"/>
          <w:highlight w:val="none"/>
          <w:lang w:val="en-US" w:eastAsia="zh-CN"/>
        </w:rPr>
        <w:t>。</w:t>
      </w:r>
    </w:p>
    <w:p w14:paraId="59D99FD3">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本项目（是/否）接受联合体：否</w:t>
      </w:r>
    </w:p>
    <w:p w14:paraId="5A786ED7">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二、申请人的资格要求</w:t>
      </w:r>
      <w:r>
        <w:rPr>
          <w:rFonts w:hint="eastAsia" w:ascii="仿宋" w:hAnsi="仿宋" w:eastAsia="仿宋" w:cs="仿宋"/>
          <w:b/>
          <w:color w:val="auto"/>
          <w:sz w:val="24"/>
          <w:szCs w:val="24"/>
          <w:highlight w:val="none"/>
          <w:lang w:eastAsia="zh-CN"/>
        </w:rPr>
        <w:t>：</w:t>
      </w:r>
    </w:p>
    <w:p w14:paraId="67CCF0E9">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（一）符合《中华人民共和国政府采购法》第二十二条规定；</w:t>
      </w:r>
    </w:p>
    <w:p w14:paraId="5F39A39E">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w:t>
      </w:r>
      <w:bookmarkStart w:id="6" w:name="OLE_LINK48"/>
      <w:r>
        <w:rPr>
          <w:rFonts w:hint="eastAsia" w:ascii="仿宋" w:hAnsi="仿宋" w:eastAsia="仿宋" w:cs="仿宋"/>
          <w:color w:val="auto"/>
          <w:sz w:val="24"/>
          <w:szCs w:val="24"/>
          <w:highlight w:val="none"/>
          <w:lang w:val="zh-CN"/>
        </w:rPr>
        <w:t>供应商</w:t>
      </w:r>
      <w:r>
        <w:rPr>
          <w:rFonts w:hint="eastAsia" w:ascii="仿宋" w:hAnsi="仿宋" w:eastAsia="仿宋" w:cs="仿宋"/>
          <w:color w:val="auto"/>
          <w:sz w:val="24"/>
          <w:szCs w:val="24"/>
          <w:highlight w:val="none"/>
          <w:lang w:val="en-US" w:eastAsia="zh-CN"/>
        </w:rPr>
        <w:t>提供</w:t>
      </w:r>
      <w:r>
        <w:rPr>
          <w:rFonts w:hint="eastAsia" w:ascii="仿宋" w:hAnsi="仿宋" w:eastAsia="仿宋" w:cs="仿宋"/>
          <w:color w:val="auto"/>
          <w:sz w:val="24"/>
          <w:szCs w:val="24"/>
          <w:highlight w:val="none"/>
        </w:rPr>
        <w:t>符合《中华人民共和国政府采购法》第二十二条规</w:t>
      </w:r>
      <w:r>
        <w:rPr>
          <w:rFonts w:hint="eastAsia" w:ascii="仿宋" w:hAnsi="仿宋" w:eastAsia="仿宋" w:cs="仿宋"/>
          <w:color w:val="auto"/>
          <w:sz w:val="24"/>
          <w:szCs w:val="24"/>
          <w:highlight w:val="none"/>
          <w:lang w:eastAsia="zh-CN"/>
        </w:rPr>
        <w:t>定的</w:t>
      </w:r>
      <w:r>
        <w:rPr>
          <w:rFonts w:hint="eastAsia" w:ascii="仿宋" w:hAnsi="仿宋" w:eastAsia="仿宋" w:cs="仿宋"/>
          <w:color w:val="auto"/>
          <w:sz w:val="24"/>
          <w:szCs w:val="24"/>
          <w:highlight w:val="none"/>
          <w:lang w:val="zh-CN"/>
        </w:rPr>
        <w:t>承诺</w:t>
      </w:r>
      <w:r>
        <w:rPr>
          <w:rFonts w:hint="eastAsia" w:ascii="仿宋" w:hAnsi="仿宋" w:eastAsia="仿宋" w:cs="仿宋"/>
          <w:color w:val="auto"/>
          <w:sz w:val="24"/>
          <w:szCs w:val="24"/>
          <w:highlight w:val="none"/>
          <w:lang w:val="en-US" w:eastAsia="zh-CN"/>
        </w:rPr>
        <w:t>书</w:t>
      </w:r>
      <w:r>
        <w:rPr>
          <w:rFonts w:hint="eastAsia" w:ascii="仿宋" w:hAnsi="仿宋" w:eastAsia="仿宋" w:cs="仿宋"/>
          <w:color w:val="auto"/>
          <w:sz w:val="24"/>
          <w:szCs w:val="24"/>
          <w:highlight w:val="none"/>
          <w:lang w:val="zh-CN"/>
        </w:rPr>
        <w:t>（详见示范格式三）</w:t>
      </w:r>
      <w:bookmarkEnd w:id="6"/>
    </w:p>
    <w:p w14:paraId="35C9DAEC">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rPr>
      </w:pPr>
      <w:bookmarkStart w:id="7" w:name="OLE_LINK50"/>
      <w:r>
        <w:rPr>
          <w:rFonts w:hint="eastAsia" w:ascii="仿宋" w:hAnsi="仿宋" w:eastAsia="仿宋" w:cs="仿宋"/>
          <w:color w:val="auto"/>
          <w:sz w:val="24"/>
          <w:szCs w:val="24"/>
          <w:highlight w:val="none"/>
          <w:lang w:val="en-US" w:eastAsia="zh-CN"/>
        </w:rPr>
        <w:t>2.</w:t>
      </w:r>
      <w:bookmarkStart w:id="8" w:name="OLE_LINK46"/>
      <w:r>
        <w:rPr>
          <w:rFonts w:hint="eastAsia" w:ascii="仿宋" w:hAnsi="仿宋" w:eastAsia="仿宋" w:cs="仿宋"/>
          <w:color w:val="auto"/>
          <w:sz w:val="24"/>
          <w:szCs w:val="24"/>
          <w:highlight w:val="none"/>
        </w:rPr>
        <w:t>法定代表人资格证明（</w:t>
      </w:r>
      <w:r>
        <w:rPr>
          <w:rFonts w:hint="eastAsia" w:ascii="仿宋" w:hAnsi="仿宋" w:eastAsia="仿宋" w:cs="仿宋"/>
          <w:color w:val="auto"/>
          <w:sz w:val="24"/>
          <w:szCs w:val="24"/>
          <w:highlight w:val="none"/>
          <w:lang w:val="en-US" w:eastAsia="zh-CN"/>
        </w:rPr>
        <w:t>详见</w:t>
      </w:r>
      <w:r>
        <w:rPr>
          <w:rFonts w:hint="eastAsia" w:ascii="仿宋" w:hAnsi="仿宋" w:eastAsia="仿宋" w:cs="仿宋"/>
          <w:color w:val="auto"/>
          <w:sz w:val="24"/>
          <w:szCs w:val="24"/>
          <w:highlight w:val="none"/>
        </w:rPr>
        <w:t>示范格式一）和法定代表人身份证；（扫描件上传至电子响应文件）</w:t>
      </w:r>
      <w:r>
        <w:rPr>
          <w:rFonts w:hint="eastAsia" w:ascii="仿宋" w:hAnsi="仿宋" w:eastAsia="仿宋" w:cs="仿宋"/>
          <w:color w:val="auto"/>
          <w:sz w:val="24"/>
          <w:szCs w:val="24"/>
          <w:highlight w:val="none"/>
          <w:lang w:val="en-US" w:eastAsia="zh-CN"/>
        </w:rPr>
        <w:t>或</w:t>
      </w:r>
      <w:r>
        <w:rPr>
          <w:rFonts w:hint="eastAsia" w:ascii="仿宋" w:hAnsi="仿宋" w:eastAsia="仿宋" w:cs="仿宋"/>
          <w:color w:val="auto"/>
          <w:sz w:val="24"/>
          <w:szCs w:val="24"/>
          <w:highlight w:val="none"/>
        </w:rPr>
        <w:t>授权委托书（</w:t>
      </w:r>
      <w:r>
        <w:rPr>
          <w:rFonts w:hint="eastAsia" w:ascii="仿宋" w:hAnsi="仿宋" w:eastAsia="仿宋" w:cs="仿宋"/>
          <w:color w:val="auto"/>
          <w:sz w:val="24"/>
          <w:szCs w:val="24"/>
          <w:highlight w:val="none"/>
          <w:lang w:val="en-US" w:eastAsia="zh-CN"/>
        </w:rPr>
        <w:t>详见</w:t>
      </w:r>
      <w:r>
        <w:rPr>
          <w:rFonts w:hint="eastAsia" w:ascii="仿宋" w:hAnsi="仿宋" w:eastAsia="仿宋" w:cs="仿宋"/>
          <w:color w:val="auto"/>
          <w:sz w:val="24"/>
          <w:szCs w:val="24"/>
          <w:highlight w:val="none"/>
        </w:rPr>
        <w:t>示范格式二）和受托人身份证；（扫描件上传至电子响应文件）</w:t>
      </w:r>
      <w:bookmarkEnd w:id="8"/>
    </w:p>
    <w:bookmarkEnd w:id="7"/>
    <w:p w14:paraId="630AF994">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rPr>
      </w:pPr>
      <w:bookmarkStart w:id="9" w:name="OLE_LINK51"/>
      <w:r>
        <w:rPr>
          <w:rFonts w:hint="eastAsia" w:ascii="仿宋" w:hAnsi="仿宋" w:eastAsia="仿宋" w:cs="仿宋"/>
          <w:color w:val="auto"/>
          <w:sz w:val="24"/>
          <w:szCs w:val="24"/>
          <w:highlight w:val="none"/>
          <w:lang w:val="en-US" w:eastAsia="zh-CN"/>
        </w:rPr>
        <w:t>3.</w:t>
      </w:r>
      <w:bookmarkStart w:id="10" w:name="OLE_LINK47"/>
      <w:r>
        <w:rPr>
          <w:rFonts w:hint="eastAsia" w:ascii="仿宋" w:hAnsi="仿宋" w:eastAsia="仿宋" w:cs="仿宋"/>
          <w:color w:val="auto"/>
          <w:sz w:val="24"/>
          <w:szCs w:val="24"/>
          <w:highlight w:val="none"/>
        </w:rPr>
        <w:t>有效的营业执照；</w:t>
      </w:r>
      <w:bookmarkStart w:id="11" w:name="OLE_LINK49"/>
      <w:r>
        <w:rPr>
          <w:rFonts w:hint="eastAsia" w:ascii="仿宋" w:hAnsi="仿宋" w:eastAsia="仿宋" w:cs="仿宋"/>
          <w:color w:val="auto"/>
          <w:sz w:val="24"/>
          <w:szCs w:val="24"/>
          <w:highlight w:val="none"/>
        </w:rPr>
        <w:t>（扫描件上传至电子响应文件）</w:t>
      </w:r>
      <w:bookmarkEnd w:id="11"/>
    </w:p>
    <w:bookmarkEnd w:id="9"/>
    <w:bookmarkEnd w:id="10"/>
    <w:p w14:paraId="471CA9C0">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bookmarkStart w:id="12" w:name="OLE_LINK53"/>
      <w:r>
        <w:rPr>
          <w:rFonts w:hint="eastAsia" w:ascii="仿宋" w:hAnsi="仿宋" w:eastAsia="仿宋" w:cs="仿宋"/>
          <w:color w:val="auto"/>
          <w:sz w:val="24"/>
          <w:szCs w:val="24"/>
          <w:highlight w:val="none"/>
        </w:rPr>
        <w:t>供应商未被“信用中国”网（</w:t>
      </w:r>
      <w:r>
        <w:rPr>
          <w:rFonts w:hint="eastAsia" w:ascii="仿宋" w:hAnsi="仿宋" w:eastAsia="仿宋" w:cs="仿宋"/>
          <w:color w:val="auto"/>
          <w:sz w:val="24"/>
          <w:szCs w:val="24"/>
          <w:highlight w:val="none"/>
          <w:lang w:eastAsia="zh-CN"/>
        </w:rPr>
        <w:t>https:</w:t>
      </w:r>
      <w:r>
        <w:rPr>
          <w:rFonts w:hint="eastAsia" w:ascii="仿宋" w:hAnsi="仿宋" w:eastAsia="仿宋" w:cs="仿宋"/>
          <w:color w:val="auto"/>
          <w:sz w:val="24"/>
          <w:szCs w:val="24"/>
          <w:highlight w:val="none"/>
        </w:rPr>
        <w:t>//www.creditchina.gov.cn/）列入失信被执行人、重大税收违法案件当事人名单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未被“中国政府采购网”（</w:t>
      </w:r>
      <w:r>
        <w:rPr>
          <w:rFonts w:hint="eastAsia" w:ascii="仿宋" w:hAnsi="仿宋" w:eastAsia="仿宋" w:cs="仿宋"/>
          <w:color w:val="auto"/>
          <w:sz w:val="24"/>
          <w:szCs w:val="24"/>
          <w:highlight w:val="none"/>
          <w:lang w:eastAsia="zh-CN"/>
        </w:rPr>
        <w:t>http:</w:t>
      </w:r>
      <w:r>
        <w:rPr>
          <w:rFonts w:hint="eastAsia" w:ascii="仿宋" w:hAnsi="仿宋" w:eastAsia="仿宋" w:cs="仿宋"/>
          <w:color w:val="auto"/>
          <w:sz w:val="24"/>
          <w:szCs w:val="24"/>
          <w:highlight w:val="none"/>
        </w:rPr>
        <w:t>//www.ccgp.gov.cn/）列入政府采购严重违法失信行为记录名单。由采购单位（采购代理单位）组织磋商小组在资格审查时查询，一旦被查询存在上述失信行为记录名单的，将视为资格审查不通过）。</w:t>
      </w:r>
    </w:p>
    <w:bookmarkEnd w:id="12"/>
    <w:p w14:paraId="2969FF9B">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（二）落实政府采购政策需满足的资格要求：</w:t>
      </w:r>
    </w:p>
    <w:p w14:paraId="423FB3AB">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lang w:val="zh-CN"/>
        </w:rPr>
      </w:pPr>
      <w:bookmarkStart w:id="13" w:name="OLE_LINK75"/>
      <w:r>
        <w:rPr>
          <w:rFonts w:hint="eastAsia" w:ascii="仿宋" w:hAnsi="仿宋" w:eastAsia="仿宋" w:cs="仿宋"/>
          <w:color w:val="auto"/>
          <w:sz w:val="24"/>
          <w:szCs w:val="24"/>
          <w:highlight w:val="none"/>
          <w:lang w:val="zh-CN"/>
        </w:rPr>
        <w:t>本项目</w:t>
      </w:r>
      <w:r>
        <w:rPr>
          <w:rFonts w:hint="eastAsia" w:ascii="仿宋" w:hAnsi="仿宋" w:eastAsia="仿宋" w:cs="仿宋"/>
          <w:color w:val="auto"/>
          <w:sz w:val="24"/>
          <w:szCs w:val="24"/>
          <w:highlight w:val="none"/>
        </w:rPr>
        <w:t>按照</w:t>
      </w:r>
      <w:r>
        <w:rPr>
          <w:rFonts w:hint="eastAsia" w:ascii="仿宋" w:hAnsi="仿宋" w:eastAsia="仿宋" w:cs="仿宋"/>
          <w:color w:val="auto"/>
          <w:sz w:val="24"/>
          <w:szCs w:val="24"/>
          <w:highlight w:val="none"/>
          <w:lang w:val="zh-CN"/>
        </w:rPr>
        <w:t>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种方式落实政府采购促进中小企业发展的要求：</w:t>
      </w:r>
    </w:p>
    <w:p w14:paraId="25289013">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1</w:t>
      </w:r>
      <w:r>
        <w:rPr>
          <w:rFonts w:hint="eastAsia" w:ascii="仿宋" w:hAnsi="仿宋" w:eastAsia="仿宋" w:cs="仿宋"/>
          <w:color w:val="auto"/>
          <w:sz w:val="24"/>
          <w:szCs w:val="24"/>
          <w:highlight w:val="none"/>
        </w:rPr>
        <w:t>.</w:t>
      </w:r>
      <w:bookmarkStart w:id="14" w:name="OLE_LINK55"/>
      <w:r>
        <w:rPr>
          <w:rFonts w:hint="eastAsia" w:ascii="仿宋" w:hAnsi="仿宋" w:eastAsia="仿宋" w:cs="仿宋"/>
          <w:color w:val="auto"/>
          <w:sz w:val="24"/>
          <w:szCs w:val="24"/>
          <w:highlight w:val="none"/>
        </w:rPr>
        <w:t>本项目为专门面向中小企业采购的项目。</w:t>
      </w:r>
    </w:p>
    <w:bookmarkEnd w:id="14"/>
    <w:p w14:paraId="50196719">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zh-CN"/>
        </w:rPr>
        <w:t>本项目通过以下第（）种方式预留部分采购份额</w:t>
      </w:r>
      <w:r>
        <w:rPr>
          <w:rFonts w:hint="eastAsia" w:ascii="仿宋" w:hAnsi="仿宋" w:eastAsia="仿宋" w:cs="仿宋"/>
          <w:color w:val="auto"/>
          <w:sz w:val="24"/>
          <w:szCs w:val="24"/>
          <w:highlight w:val="none"/>
        </w:rPr>
        <w:t>采购</w:t>
      </w:r>
      <w:r>
        <w:rPr>
          <w:rFonts w:hint="eastAsia" w:ascii="仿宋" w:hAnsi="仿宋" w:eastAsia="仿宋" w:cs="仿宋"/>
          <w:color w:val="auto"/>
          <w:sz w:val="24"/>
          <w:szCs w:val="24"/>
          <w:highlight w:val="none"/>
          <w:lang w:val="zh-CN"/>
        </w:rPr>
        <w:t>中小企业</w:t>
      </w:r>
      <w:r>
        <w:rPr>
          <w:rFonts w:hint="eastAsia" w:ascii="仿宋" w:hAnsi="仿宋" w:eastAsia="仿宋" w:cs="仿宋"/>
          <w:color w:val="auto"/>
          <w:sz w:val="24"/>
          <w:szCs w:val="24"/>
          <w:highlight w:val="none"/>
        </w:rPr>
        <w:t>服务</w:t>
      </w:r>
      <w:r>
        <w:rPr>
          <w:rFonts w:hint="eastAsia" w:ascii="仿宋" w:hAnsi="仿宋" w:eastAsia="仿宋" w:cs="仿宋"/>
          <w:color w:val="auto"/>
          <w:sz w:val="24"/>
          <w:szCs w:val="24"/>
          <w:highlight w:val="none"/>
          <w:lang w:val="zh-CN"/>
        </w:rPr>
        <w:t>：</w:t>
      </w:r>
    </w:p>
    <w:p w14:paraId="2B163523">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（1）本项目要求供应商以联合体形式参加，中小企业合同金额应当达到的比例为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zh-CN"/>
        </w:rPr>
        <w:t>，其中小微企业所占比例应为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zh-CN"/>
        </w:rPr>
        <w:t>（两项比例均应符合《政府采购促进中小企业发展管理办法》第八条规定）。</w:t>
      </w:r>
    </w:p>
    <w:p w14:paraId="79A266A5">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（2）本项目要求供应商进行合同分包，中小企业合同金额应当达到的比例为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zh-CN"/>
        </w:rPr>
        <w:t>，其中小微企业所占比例应为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zh-CN"/>
        </w:rPr>
        <w:t>（两项比例均应符合《政府采购促进中小企业发展管理办法》第八条规定）。</w:t>
      </w:r>
    </w:p>
    <w:p w14:paraId="33006EB6">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3.本项目为非预留份额的采购项目，</w:t>
      </w:r>
      <w:r>
        <w:rPr>
          <w:rFonts w:hint="eastAsia" w:ascii="仿宋" w:hAnsi="仿宋" w:eastAsia="仿宋" w:cs="仿宋"/>
          <w:color w:val="auto"/>
          <w:sz w:val="24"/>
          <w:szCs w:val="24"/>
          <w:highlight w:val="none"/>
        </w:rPr>
        <w:t>对小微企业报价给予扣除，用扣除后的价格参加评审</w:t>
      </w:r>
      <w:r>
        <w:rPr>
          <w:rFonts w:hint="eastAsia" w:ascii="仿宋" w:hAnsi="仿宋" w:eastAsia="仿宋" w:cs="仿宋"/>
          <w:color w:val="auto"/>
          <w:sz w:val="24"/>
          <w:szCs w:val="24"/>
          <w:highlight w:val="none"/>
          <w:lang w:val="zh-CN"/>
        </w:rPr>
        <w:t>。</w:t>
      </w:r>
    </w:p>
    <w:p w14:paraId="5AAD04D7">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本项目采购标的对应的中小企业划分标准所属行业为</w:t>
      </w:r>
      <w:r>
        <w:rPr>
          <w:rFonts w:hint="eastAsia" w:ascii="仿宋" w:hAnsi="仿宋" w:eastAsia="仿宋" w:cs="仿宋"/>
          <w:color w:val="auto"/>
          <w:sz w:val="24"/>
          <w:szCs w:val="24"/>
          <w:highlight w:val="none"/>
          <w:u w:val="single"/>
          <w:lang w:val="en-US" w:eastAsia="zh-CN"/>
        </w:rPr>
        <w:t>建筑</w:t>
      </w:r>
      <w:r>
        <w:rPr>
          <w:rFonts w:hint="eastAsia" w:ascii="仿宋" w:hAnsi="仿宋" w:eastAsia="仿宋" w:cs="仿宋"/>
          <w:color w:val="auto"/>
          <w:sz w:val="24"/>
          <w:szCs w:val="24"/>
          <w:highlight w:val="none"/>
          <w:u w:val="none"/>
          <w:lang w:val="en-US" w:eastAsia="zh-CN"/>
        </w:rPr>
        <w:t>。</w:t>
      </w:r>
    </w:p>
    <w:p w14:paraId="5F238D40">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注：监狱企业、残疾人福利性单位视同小微企业。</w:t>
      </w:r>
    </w:p>
    <w:p w14:paraId="688C450B">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提供中小企业声明函（格式按照示范格式四要求）或残疾人福利性单位声明函（格式按照示范格式五要求）或由省级以上监狱管理局、戒毒管理局（含新疆生产建设兵团）出具的属于监狱企业的证明文件）（扫描件上传至电子响应文件）；</w:t>
      </w:r>
    </w:p>
    <w:bookmarkEnd w:id="13"/>
    <w:p w14:paraId="6D6CD9D6">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（三）本项目的特定资格要求：</w:t>
      </w:r>
    </w:p>
    <w:p w14:paraId="6208FE6C">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lang w:val="en-US" w:eastAsia="zh-CN"/>
        </w:rPr>
      </w:pPr>
      <w:bookmarkStart w:id="15" w:name="OLE_LINK17"/>
      <w:bookmarkStart w:id="16" w:name="OLE_LINK74"/>
      <w:r>
        <w:rPr>
          <w:rFonts w:hint="eastAsia" w:ascii="仿宋" w:hAnsi="仿宋" w:eastAsia="仿宋" w:cs="仿宋"/>
          <w:color w:val="auto"/>
          <w:sz w:val="24"/>
          <w:szCs w:val="24"/>
          <w:highlight w:val="none"/>
          <w:lang w:val="en-US" w:eastAsia="zh-CN"/>
        </w:rPr>
        <w:t>1.采购人发出的邀请函；（扫描件上传至电子响应文件）</w:t>
      </w:r>
    </w:p>
    <w:p w14:paraId="0D2B37AD">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2.供应商</w:t>
      </w:r>
      <w:r>
        <w:rPr>
          <w:rFonts w:hint="eastAsia" w:ascii="仿宋" w:hAnsi="仿宋" w:eastAsia="仿宋" w:cs="仿宋"/>
          <w:color w:val="auto"/>
          <w:sz w:val="24"/>
          <w:szCs w:val="24"/>
          <w:highlight w:val="none"/>
          <w:lang w:val="zh-CN" w:eastAsia="zh-CN"/>
        </w:rPr>
        <w:t>资质类别和等级：具备电力工程施工总承包二级以上（含二级）资质或输变电工程专业承包二级以上（含二级）资质，建筑工程施工总承包二级以上（含二级）资质，并且具备行政主管部门颁发的《承装（修、试）电力设施许可证》（其中承装类、承修类、承试类均为五级以上（含五级））（扫描件上传至电子响应文件）</w:t>
      </w:r>
    </w:p>
    <w:p w14:paraId="3D1F324C">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3.供应商须具备安全生产条件，并取得《安全生产许可证》（有效期内）（证书扫描件上传至电子响应文件）；</w:t>
      </w:r>
    </w:p>
    <w:p w14:paraId="60983A8E">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4.供应商拟派项目负责人须具有二级注册建造师（机电安装工程专业）资格，并取得安全生产考核B类证（有效期内）（扫描件上传至电子响应文件）</w:t>
      </w:r>
    </w:p>
    <w:bookmarkEnd w:id="15"/>
    <w:p w14:paraId="01FF3DFC">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240" w:firstLineChars="1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（四）拒绝下述条件的供应商参加本次采购活动：</w:t>
      </w:r>
    </w:p>
    <w:p w14:paraId="3585D455">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1.供应商单位负责人为同一人或者存在直接控股、管理关系的不同供应商，不得同时参加同一合同项下的政府采购活动。</w:t>
      </w:r>
    </w:p>
    <w:p w14:paraId="0EE04726">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2.凡为采购项目提供整体设计、规范编制或者项目管理、监理、检测等服务的供应商，不得再参加本项目的采购活动。</w:t>
      </w:r>
    </w:p>
    <w:p w14:paraId="7F8E1061">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3.供应商被“信用中国”网站、“中国政府采购网”列入失信被执行人、重大税收违法案件当事人名单、政府采购严重违法失信行为记录名单。</w:t>
      </w:r>
    </w:p>
    <w:bookmarkEnd w:id="16"/>
    <w:p w14:paraId="4B695098">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三、获取采购文件</w:t>
      </w:r>
    </w:p>
    <w:p w14:paraId="27C69DD7">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时间：</w:t>
      </w:r>
      <w:r>
        <w:rPr>
          <w:rFonts w:hint="eastAsia" w:ascii="仿宋" w:hAnsi="仿宋" w:eastAsia="仿宋" w:cs="仿宋"/>
          <w:color w:val="auto"/>
          <w:sz w:val="24"/>
          <w:szCs w:val="24"/>
          <w:highlight w:val="none"/>
        </w:rPr>
        <w:t>自磋商文件公告发布之日起5个工作日</w:t>
      </w:r>
    </w:p>
    <w:p w14:paraId="6F4B1408">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w:t>
      </w:r>
      <w:bookmarkStart w:id="17" w:name="OLE_LINK70"/>
      <w:r>
        <w:rPr>
          <w:rFonts w:hint="eastAsia" w:ascii="仿宋" w:hAnsi="仿宋" w:eastAsia="仿宋" w:cs="仿宋"/>
          <w:color w:val="auto"/>
          <w:sz w:val="24"/>
          <w:szCs w:val="24"/>
          <w:highlight w:val="none"/>
        </w:rPr>
        <w:t>江苏省政府采购网或者淮安市政府采购网</w:t>
      </w:r>
      <w:bookmarkEnd w:id="17"/>
      <w:r>
        <w:rPr>
          <w:rFonts w:hint="eastAsia" w:ascii="仿宋" w:hAnsi="仿宋" w:eastAsia="仿宋" w:cs="仿宋"/>
          <w:color w:val="auto"/>
          <w:sz w:val="24"/>
          <w:szCs w:val="24"/>
          <w:highlight w:val="none"/>
        </w:rPr>
        <w:t> </w:t>
      </w:r>
    </w:p>
    <w:p w14:paraId="2209CD22">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方式：</w:t>
      </w:r>
      <w:bookmarkStart w:id="18" w:name="OLE_LINK71"/>
      <w:r>
        <w:rPr>
          <w:rFonts w:hint="eastAsia" w:ascii="仿宋" w:hAnsi="仿宋" w:eastAsia="仿宋" w:cs="仿宋"/>
          <w:color w:val="auto"/>
          <w:sz w:val="24"/>
          <w:szCs w:val="24"/>
          <w:highlight w:val="none"/>
        </w:rPr>
        <w:t>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p>
    <w:bookmarkEnd w:id="18"/>
    <w:p w14:paraId="004F9FDE">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售价：0.00元</w:t>
      </w:r>
    </w:p>
    <w:p w14:paraId="5DD1A9BB">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四、响应文件提交</w:t>
      </w:r>
    </w:p>
    <w:p w14:paraId="6CDD758B">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截止时间：202</w:t>
      </w:r>
      <w:r>
        <w:rPr>
          <w:rFonts w:hint="eastAsia" w:ascii="仿宋" w:hAnsi="仿宋" w:eastAsia="仿宋" w:cs="仿宋"/>
          <w:b w:val="0"/>
          <w:bCs/>
          <w:color w:val="auto"/>
          <w:sz w:val="24"/>
          <w:szCs w:val="24"/>
          <w:highlight w:val="none"/>
          <w:lang w:val="en-US" w:eastAsia="zh-CN"/>
        </w:rPr>
        <w:t>6</w:t>
      </w:r>
      <w:r>
        <w:rPr>
          <w:rFonts w:hint="eastAsia" w:ascii="仿宋" w:hAnsi="仿宋" w:eastAsia="仿宋" w:cs="仿宋"/>
          <w:b w:val="0"/>
          <w:bCs/>
          <w:color w:val="auto"/>
          <w:sz w:val="24"/>
          <w:szCs w:val="24"/>
          <w:highlight w:val="none"/>
        </w:rPr>
        <w:t>-</w:t>
      </w:r>
      <w:r>
        <w:rPr>
          <w:rFonts w:hint="eastAsia" w:ascii="仿宋" w:hAnsi="仿宋" w:eastAsia="仿宋" w:cs="仿宋"/>
          <w:b w:val="0"/>
          <w:bCs/>
          <w:color w:val="auto"/>
          <w:sz w:val="24"/>
          <w:szCs w:val="24"/>
          <w:highlight w:val="none"/>
          <w:lang w:val="en-US" w:eastAsia="zh-CN"/>
        </w:rPr>
        <w:t>5</w:t>
      </w:r>
      <w:r>
        <w:rPr>
          <w:rFonts w:hint="eastAsia" w:ascii="仿宋" w:hAnsi="仿宋" w:eastAsia="仿宋" w:cs="仿宋"/>
          <w:b w:val="0"/>
          <w:bCs/>
          <w:color w:val="auto"/>
          <w:sz w:val="24"/>
          <w:szCs w:val="24"/>
          <w:highlight w:val="none"/>
        </w:rPr>
        <w:t>-</w:t>
      </w:r>
      <w:r>
        <w:rPr>
          <w:rFonts w:hint="eastAsia" w:ascii="仿宋" w:hAnsi="仿宋" w:eastAsia="仿宋" w:cs="仿宋"/>
          <w:b w:val="0"/>
          <w:bCs/>
          <w:color w:val="auto"/>
          <w:sz w:val="24"/>
          <w:szCs w:val="24"/>
          <w:highlight w:val="none"/>
          <w:lang w:val="en-US" w:eastAsia="zh-CN"/>
        </w:rPr>
        <w:t xml:space="preserve">15 </w:t>
      </w:r>
      <w:r>
        <w:rPr>
          <w:rFonts w:hint="eastAsia" w:ascii="仿宋" w:hAnsi="仿宋" w:eastAsia="仿宋" w:cs="仿宋"/>
          <w:b w:val="0"/>
          <w:bCs/>
          <w:color w:val="auto"/>
          <w:sz w:val="24"/>
          <w:szCs w:val="24"/>
          <w:highlight w:val="none"/>
        </w:rPr>
        <w:t xml:space="preserve"> 09:00</w:t>
      </w:r>
      <w:r>
        <w:rPr>
          <w:rFonts w:hint="eastAsia" w:ascii="仿宋" w:hAnsi="仿宋" w:eastAsia="仿宋" w:cs="仿宋"/>
          <w:color w:val="auto"/>
          <w:sz w:val="24"/>
          <w:szCs w:val="24"/>
          <w:highlight w:val="none"/>
        </w:rPr>
        <w:t xml:space="preserve"> </w:t>
      </w:r>
      <w:r>
        <w:rPr>
          <w:rFonts w:hint="eastAsia" w:ascii="仿宋" w:hAnsi="仿宋" w:eastAsia="仿宋" w:cs="仿宋"/>
          <w:b w:val="0"/>
          <w:bCs/>
          <w:color w:val="auto"/>
          <w:sz w:val="24"/>
          <w:szCs w:val="24"/>
          <w:highlight w:val="none"/>
        </w:rPr>
        <w:t>（北京时间）</w:t>
      </w:r>
    </w:p>
    <w:p w14:paraId="56E67C74">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 xml:space="preserve">地点： </w:t>
      </w:r>
      <w:bookmarkStart w:id="19" w:name="OLE_LINK72"/>
      <w:r>
        <w:rPr>
          <w:rFonts w:hint="eastAsia" w:ascii="仿宋" w:hAnsi="仿宋" w:eastAsia="仿宋" w:cs="仿宋"/>
          <w:b w:val="0"/>
          <w:bCs/>
          <w:color w:val="auto"/>
          <w:sz w:val="24"/>
          <w:szCs w:val="24"/>
          <w:highlight w:val="none"/>
        </w:rPr>
        <w:t>本项目采用远程“不见面”开标方式，无需到现场提交，请供应商在响应文件提交截止前提前登入苏采云政府采购一体化平台（网址：http://jszfcg.jscz.gov.cn/jszc/login）提交响应文件</w:t>
      </w:r>
      <w:bookmarkEnd w:id="19"/>
      <w:r>
        <w:rPr>
          <w:rFonts w:hint="eastAsia" w:ascii="仿宋" w:hAnsi="仿宋" w:eastAsia="仿宋" w:cs="仿宋"/>
          <w:b w:val="0"/>
          <w:bCs/>
          <w:color w:val="auto"/>
          <w:sz w:val="24"/>
          <w:szCs w:val="24"/>
          <w:highlight w:val="none"/>
        </w:rPr>
        <w:t>。 </w:t>
      </w:r>
    </w:p>
    <w:p w14:paraId="3541F846">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五、开启</w:t>
      </w:r>
    </w:p>
    <w:p w14:paraId="16BAE3D2">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w:t>
      </w:r>
      <w:r>
        <w:rPr>
          <w:rFonts w:hint="eastAsia" w:ascii="仿宋" w:hAnsi="仿宋" w:eastAsia="仿宋" w:cs="仿宋"/>
          <w:b w:val="0"/>
          <w:bCs/>
          <w:color w:val="auto"/>
          <w:sz w:val="24"/>
          <w:szCs w:val="24"/>
          <w:highlight w:val="none"/>
        </w:rPr>
        <w:t>202</w:t>
      </w:r>
      <w:r>
        <w:rPr>
          <w:rFonts w:hint="eastAsia" w:ascii="仿宋" w:hAnsi="仿宋" w:eastAsia="仿宋" w:cs="仿宋"/>
          <w:b w:val="0"/>
          <w:bCs/>
          <w:color w:val="auto"/>
          <w:sz w:val="24"/>
          <w:szCs w:val="24"/>
          <w:highlight w:val="none"/>
          <w:lang w:val="en-US" w:eastAsia="zh-CN"/>
        </w:rPr>
        <w:t>6</w:t>
      </w:r>
      <w:r>
        <w:rPr>
          <w:rFonts w:hint="eastAsia" w:ascii="仿宋" w:hAnsi="仿宋" w:eastAsia="仿宋" w:cs="仿宋"/>
          <w:b w:val="0"/>
          <w:bCs/>
          <w:color w:val="auto"/>
          <w:sz w:val="24"/>
          <w:szCs w:val="24"/>
          <w:highlight w:val="none"/>
        </w:rPr>
        <w:t>-</w:t>
      </w:r>
      <w:r>
        <w:rPr>
          <w:rFonts w:hint="eastAsia" w:ascii="仿宋" w:hAnsi="仿宋" w:eastAsia="仿宋" w:cs="仿宋"/>
          <w:b w:val="0"/>
          <w:bCs/>
          <w:color w:val="auto"/>
          <w:sz w:val="24"/>
          <w:szCs w:val="24"/>
          <w:highlight w:val="none"/>
          <w:lang w:val="en-US" w:eastAsia="zh-CN"/>
        </w:rPr>
        <w:t>5</w:t>
      </w:r>
      <w:r>
        <w:rPr>
          <w:rFonts w:hint="eastAsia" w:ascii="仿宋" w:hAnsi="仿宋" w:eastAsia="仿宋" w:cs="仿宋"/>
          <w:b w:val="0"/>
          <w:bCs/>
          <w:color w:val="auto"/>
          <w:sz w:val="24"/>
          <w:szCs w:val="24"/>
          <w:highlight w:val="none"/>
        </w:rPr>
        <w:t>-</w:t>
      </w:r>
      <w:r>
        <w:rPr>
          <w:rFonts w:hint="eastAsia" w:ascii="仿宋" w:hAnsi="仿宋" w:eastAsia="仿宋" w:cs="仿宋"/>
          <w:b w:val="0"/>
          <w:bCs/>
          <w:color w:val="auto"/>
          <w:sz w:val="24"/>
          <w:szCs w:val="24"/>
          <w:highlight w:val="none"/>
          <w:lang w:val="en-US" w:eastAsia="zh-CN"/>
        </w:rPr>
        <w:t xml:space="preserve">15 </w:t>
      </w:r>
      <w:r>
        <w:rPr>
          <w:rFonts w:hint="eastAsia" w:ascii="仿宋" w:hAnsi="仿宋" w:eastAsia="仿宋" w:cs="仿宋"/>
          <w:b w:val="0"/>
          <w:bCs/>
          <w:color w:val="auto"/>
          <w:sz w:val="24"/>
          <w:szCs w:val="24"/>
          <w:highlight w:val="none"/>
        </w:rPr>
        <w:t xml:space="preserve"> 09:00</w:t>
      </w:r>
      <w:r>
        <w:rPr>
          <w:rFonts w:hint="eastAsia" w:ascii="仿宋" w:hAnsi="仿宋" w:eastAsia="仿宋" w:cs="仿宋"/>
          <w:color w:val="auto"/>
          <w:sz w:val="24"/>
          <w:szCs w:val="24"/>
          <w:highlight w:val="none"/>
        </w:rPr>
        <w:t xml:space="preserve"> （北京时间）</w:t>
      </w:r>
    </w:p>
    <w:p w14:paraId="50EF2FBB">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地点：盱眙县20</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开标室 </w:t>
      </w:r>
    </w:p>
    <w:p w14:paraId="3F5DC666">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六</w:t>
      </w:r>
      <w:r>
        <w:rPr>
          <w:rFonts w:hint="eastAsia" w:ascii="仿宋" w:hAnsi="仿宋" w:eastAsia="仿宋" w:cs="仿宋"/>
          <w:b/>
          <w:color w:val="auto"/>
          <w:sz w:val="24"/>
          <w:szCs w:val="24"/>
          <w:highlight w:val="none"/>
        </w:rPr>
        <w:t>、公告期限</w:t>
      </w:r>
    </w:p>
    <w:p w14:paraId="6DB9207F">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4"/>
          <w:szCs w:val="24"/>
          <w:highlight w:val="none"/>
        </w:rPr>
        <w:t>自本公告发布之日起</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个工作日</w:t>
      </w:r>
      <w:r>
        <w:rPr>
          <w:rFonts w:hint="eastAsia" w:ascii="仿宋" w:hAnsi="仿宋" w:eastAsia="仿宋" w:cs="仿宋"/>
          <w:color w:val="auto"/>
          <w:sz w:val="22"/>
          <w:szCs w:val="22"/>
          <w:highlight w:val="none"/>
        </w:rPr>
        <w:t>。</w:t>
      </w:r>
    </w:p>
    <w:p w14:paraId="6D6CC700">
      <w:pPr>
        <w:keepNext w:val="0"/>
        <w:keepLines w:val="0"/>
        <w:pageBreakBefore w:val="0"/>
        <w:widowControl w:val="0"/>
        <w:kinsoku/>
        <w:wordWrap/>
        <w:overflowPunct/>
        <w:topLinePunct w:val="0"/>
        <w:autoSpaceDE/>
        <w:autoSpaceDN/>
        <w:bidi w:val="0"/>
        <w:adjustRightInd/>
        <w:snapToGrid/>
        <w:spacing w:line="380" w:lineRule="exact"/>
        <w:ind w:firstLine="482"/>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七、其他补充事宜</w:t>
      </w:r>
    </w:p>
    <w:p w14:paraId="227DF338">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磋商保证金：</w:t>
      </w:r>
      <w:bookmarkStart w:id="20" w:name="OLE_LINK42"/>
      <w:r>
        <w:rPr>
          <w:rFonts w:hint="eastAsia" w:ascii="仿宋" w:hAnsi="仿宋" w:eastAsia="仿宋" w:cs="仿宋"/>
          <w:color w:val="auto"/>
          <w:sz w:val="24"/>
          <w:szCs w:val="24"/>
          <w:highlight w:val="none"/>
        </w:rPr>
        <w:t>根据苏财购〔2020〕52号文件要求，为进一步降低供应商投标成本，取消政府采购磋商保证金</w:t>
      </w:r>
    </w:p>
    <w:bookmarkEnd w:id="20"/>
    <w:p w14:paraId="5AC53EE8">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本项目采用“苏采云全流程不见面交易”模式，通过不见面交易系统及相应的配套硬件设备（摄像头、话筒、麦克风等）完成远程解密、澄清等交互环节。相关要求和说明</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详见第二章“供应商须知”第</w:t>
      </w:r>
      <w:r>
        <w:rPr>
          <w:rFonts w:hint="eastAsia" w:ascii="仿宋" w:hAnsi="仿宋" w:eastAsia="仿宋" w:cs="仿宋"/>
          <w:color w:val="auto"/>
          <w:sz w:val="24"/>
          <w:szCs w:val="24"/>
          <w:highlight w:val="none"/>
          <w:lang w:val="en-US" w:eastAsia="zh-CN"/>
        </w:rPr>
        <w:t>19</w:t>
      </w:r>
      <w:r>
        <w:rPr>
          <w:rFonts w:hint="eastAsia" w:ascii="仿宋" w:hAnsi="仿宋" w:eastAsia="仿宋" w:cs="仿宋"/>
          <w:color w:val="auto"/>
          <w:sz w:val="24"/>
          <w:szCs w:val="24"/>
          <w:highlight w:val="none"/>
        </w:rPr>
        <w:t>条。</w:t>
      </w:r>
    </w:p>
    <w:p w14:paraId="70C5BE52">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http://www.ccgp</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jiangsu.gov.cn/jiangsu/zlxz/ee/ee3a4bc5a3454aa2b0d9312230633ce9.html。</w:t>
      </w:r>
      <w:r>
        <w:rPr>
          <w:rFonts w:hint="eastAsia" w:ascii="仿宋" w:hAnsi="仿宋" w:eastAsia="仿宋" w:cs="仿宋"/>
          <w:color w:val="auto"/>
          <w:sz w:val="24"/>
          <w:szCs w:val="24"/>
          <w:highlight w:val="none"/>
        </w:rPr>
        <w:fldChar w:fldCharType="end"/>
      </w:r>
    </w:p>
    <w:p w14:paraId="7DC54272">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rPr>
        <w:t>有关本次磋商的事项若存在变动或修改，敬请及时关注江苏政府采购网或淮安市政府采购网发布的更正公告，否则产生的后果由供应商自行承担。</w:t>
      </w:r>
    </w:p>
    <w:p w14:paraId="0B5968E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0" w:afterAutospacing="0" w:line="380" w:lineRule="exact"/>
        <w:ind w:left="0" w:right="0" w:firstLine="482" w:firstLineChars="200"/>
        <w:rPr>
          <w:rFonts w:hint="eastAsia" w:ascii="仿宋" w:hAnsi="仿宋" w:eastAsia="仿宋" w:cs="仿宋"/>
          <w:b/>
          <w:color w:val="auto"/>
          <w:sz w:val="24"/>
          <w:szCs w:val="24"/>
          <w:highlight w:val="none"/>
          <w:lang w:val="en-US" w:eastAsia="zh-CN"/>
        </w:rPr>
      </w:pPr>
      <w:bookmarkStart w:id="21" w:name="OLE_LINK39"/>
      <w:bookmarkStart w:id="22" w:name="OLE_LINK79"/>
      <w:r>
        <w:rPr>
          <w:rFonts w:hint="eastAsia" w:ascii="仿宋" w:hAnsi="仿宋" w:eastAsia="仿宋" w:cs="仿宋"/>
          <w:b/>
          <w:bCs w:val="0"/>
          <w:color w:val="auto"/>
          <w:sz w:val="24"/>
          <w:szCs w:val="24"/>
          <w:highlight w:val="none"/>
          <w:lang w:val="en-US" w:eastAsia="zh-CN"/>
        </w:rPr>
        <w:t>八、凡对本次采购提出询问，请按以下方式联系。</w:t>
      </w:r>
    </w:p>
    <w:p w14:paraId="41342858">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1.采购人信息</w:t>
      </w:r>
    </w:p>
    <w:p w14:paraId="73F308EF">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单位名称：盱眙县马坝镇人民政府</w:t>
      </w:r>
    </w:p>
    <w:p w14:paraId="21419220">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单位地址：盱眙县马坝镇镇南路1号</w:t>
      </w:r>
    </w:p>
    <w:p w14:paraId="6BC6F3D7">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联系人：鲁春贵 </w:t>
      </w:r>
    </w:p>
    <w:p w14:paraId="6A600A4A">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联系电话：0517-88411135</w:t>
      </w:r>
    </w:p>
    <w:p w14:paraId="4936AACC">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2.采购代理机构信息（如有）</w:t>
      </w:r>
    </w:p>
    <w:p w14:paraId="519AEAA1">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单位名称：江苏新时代工程项目管理有限公司</w:t>
      </w:r>
    </w:p>
    <w:p w14:paraId="5E211513">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单位地址：盱眙县合欢大道21-1号</w:t>
      </w:r>
    </w:p>
    <w:p w14:paraId="32B3EC85">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联系人：张工</w:t>
      </w:r>
    </w:p>
    <w:p w14:paraId="75654C5D">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联系电话：0517-89610656</w:t>
      </w:r>
    </w:p>
    <w:p w14:paraId="562302B4">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3.项目联系方式</w:t>
      </w:r>
    </w:p>
    <w:p w14:paraId="76F51434">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项目联系人：张工</w:t>
      </w:r>
    </w:p>
    <w:p w14:paraId="388ACDB8">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电话：0517-89610656</w:t>
      </w:r>
    </w:p>
    <w:bookmarkEnd w:id="2"/>
    <w:bookmarkEnd w:id="21"/>
    <w:bookmarkEnd w:id="22"/>
    <w:p w14:paraId="6A369AB0">
      <w:pPr>
        <w:keepNext w:val="0"/>
        <w:keepLines w:val="0"/>
        <w:pageBreakBefore w:val="0"/>
        <w:widowControl w:val="0"/>
        <w:kinsoku/>
        <w:wordWrap/>
        <w:overflowPunct/>
        <w:topLinePunct w:val="0"/>
        <w:autoSpaceDE/>
        <w:autoSpaceDN/>
        <w:bidi w:val="0"/>
        <w:adjustRightInd/>
        <w:snapToGrid/>
        <w:spacing w:line="380" w:lineRule="exact"/>
        <w:ind w:firstLine="480"/>
        <w:jc w:val="right"/>
        <w:textAlignment w:val="auto"/>
        <w:rPr>
          <w:rFonts w:hint="eastAsia" w:ascii="仿宋" w:hAnsi="仿宋" w:eastAsia="仿宋" w:cs="仿宋"/>
          <w:color w:val="auto"/>
          <w:sz w:val="24"/>
          <w:szCs w:val="24"/>
          <w:highlight w:val="none"/>
          <w:lang w:val="en-US" w:eastAsia="zh-CN"/>
        </w:rPr>
      </w:pPr>
    </w:p>
    <w:p w14:paraId="70596B8B">
      <w:pPr>
        <w:keepNext w:val="0"/>
        <w:keepLines w:val="0"/>
        <w:pageBreakBefore w:val="0"/>
        <w:widowControl w:val="0"/>
        <w:kinsoku/>
        <w:wordWrap/>
        <w:overflowPunct/>
        <w:topLinePunct w:val="0"/>
        <w:autoSpaceDE/>
        <w:autoSpaceDN/>
        <w:bidi w:val="0"/>
        <w:adjustRightInd/>
        <w:snapToGrid/>
        <w:spacing w:line="380" w:lineRule="exact"/>
        <w:ind w:firstLine="480"/>
        <w:jc w:val="righ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盱眙县马坝镇人民政府</w:t>
      </w:r>
    </w:p>
    <w:p w14:paraId="15877076">
      <w:pPr>
        <w:keepNext w:val="0"/>
        <w:keepLines w:val="0"/>
        <w:pageBreakBefore w:val="0"/>
        <w:widowControl w:val="0"/>
        <w:kinsoku/>
        <w:wordWrap/>
        <w:overflowPunct/>
        <w:topLinePunct w:val="0"/>
        <w:autoSpaceDE/>
        <w:autoSpaceDN/>
        <w:bidi w:val="0"/>
        <w:adjustRightInd/>
        <w:snapToGrid/>
        <w:spacing w:line="380" w:lineRule="exact"/>
        <w:ind w:firstLine="480"/>
        <w:jc w:val="right"/>
        <w:textAlignment w:val="auto"/>
        <w:rPr>
          <w:rFonts w:hint="eastAsia" w:ascii="宋体" w:hAnsi="宋体" w:eastAsia="宋体" w:cs="宋体"/>
          <w:b/>
          <w:color w:val="auto"/>
          <w:sz w:val="30"/>
          <w:szCs w:val="30"/>
          <w:highlight w:val="none"/>
        </w:rPr>
      </w:pPr>
      <w:r>
        <w:rPr>
          <w:rFonts w:hint="eastAsia" w:ascii="仿宋" w:hAnsi="仿宋" w:eastAsia="仿宋" w:cs="仿宋"/>
          <w:color w:val="auto"/>
          <w:sz w:val="24"/>
          <w:szCs w:val="24"/>
          <w:highlight w:val="none"/>
          <w:lang w:val="en-US" w:eastAsia="zh-CN"/>
        </w:rPr>
        <w:t>2026 年4月29日</w:t>
      </w:r>
    </w:p>
    <w:p w14:paraId="47BF6EA0">
      <w:pPr>
        <w:pageBreakBefore w:val="0"/>
        <w:kinsoku/>
        <w:overflowPunct/>
        <w:topLinePunct w:val="0"/>
        <w:bidi w:val="0"/>
        <w:spacing w:line="380" w:lineRule="exact"/>
        <w:jc w:val="center"/>
        <w:outlineLvl w:val="0"/>
        <w:rPr>
          <w:rFonts w:hint="eastAsia" w:ascii="宋体" w:hAnsi="宋体" w:eastAsia="宋体" w:cs="宋体"/>
          <w:b/>
          <w:color w:val="auto"/>
          <w:sz w:val="30"/>
          <w:szCs w:val="30"/>
          <w:highlight w:val="none"/>
        </w:rPr>
      </w:pPr>
    </w:p>
    <w:p w14:paraId="116AFC7F">
      <w:pPr>
        <w:pageBreakBefore w:val="0"/>
        <w:kinsoku/>
        <w:overflowPunct/>
        <w:topLinePunct w:val="0"/>
        <w:bidi w:val="0"/>
        <w:spacing w:line="380" w:lineRule="exact"/>
        <w:jc w:val="center"/>
        <w:outlineLvl w:val="0"/>
        <w:rPr>
          <w:rFonts w:hint="eastAsia" w:ascii="宋体" w:hAnsi="宋体" w:eastAsia="宋体" w:cs="宋体"/>
          <w:b/>
          <w:color w:val="auto"/>
          <w:sz w:val="30"/>
          <w:szCs w:val="30"/>
          <w:highlight w:val="none"/>
        </w:rPr>
      </w:pPr>
    </w:p>
    <w:p w14:paraId="1668D63C">
      <w:pPr>
        <w:pageBreakBefore w:val="0"/>
        <w:kinsoku/>
        <w:overflowPunct/>
        <w:topLinePunct w:val="0"/>
        <w:bidi w:val="0"/>
        <w:spacing w:line="380" w:lineRule="exact"/>
        <w:jc w:val="center"/>
        <w:outlineLvl w:val="0"/>
        <w:rPr>
          <w:rFonts w:hint="eastAsia" w:ascii="宋体" w:hAnsi="宋体" w:eastAsia="宋体" w:cs="宋体"/>
          <w:b/>
          <w:color w:val="auto"/>
          <w:sz w:val="30"/>
          <w:szCs w:val="30"/>
          <w:highlight w:val="none"/>
        </w:rPr>
      </w:pPr>
    </w:p>
    <w:p w14:paraId="1071B507">
      <w:pPr>
        <w:pageBreakBefore w:val="0"/>
        <w:kinsoku/>
        <w:overflowPunct/>
        <w:topLinePunct w:val="0"/>
        <w:bidi w:val="0"/>
        <w:spacing w:line="380" w:lineRule="exact"/>
        <w:jc w:val="center"/>
        <w:outlineLvl w:val="0"/>
        <w:rPr>
          <w:rFonts w:hint="eastAsia" w:ascii="宋体" w:hAnsi="宋体" w:eastAsia="宋体" w:cs="宋体"/>
          <w:b/>
          <w:color w:val="auto"/>
          <w:sz w:val="30"/>
          <w:szCs w:val="30"/>
          <w:highlight w:val="none"/>
        </w:rPr>
      </w:pPr>
    </w:p>
    <w:p w14:paraId="3598CF7F">
      <w:pPr>
        <w:pageBreakBefore w:val="0"/>
        <w:kinsoku/>
        <w:overflowPunct/>
        <w:topLinePunct w:val="0"/>
        <w:bidi w:val="0"/>
        <w:spacing w:line="380" w:lineRule="exact"/>
        <w:jc w:val="center"/>
        <w:outlineLvl w:val="0"/>
        <w:rPr>
          <w:rFonts w:hint="eastAsia" w:ascii="宋体" w:hAnsi="宋体" w:eastAsia="宋体" w:cs="宋体"/>
          <w:b/>
          <w:color w:val="auto"/>
          <w:sz w:val="30"/>
          <w:szCs w:val="30"/>
          <w:highlight w:val="none"/>
        </w:rPr>
      </w:pPr>
    </w:p>
    <w:p w14:paraId="42B20A03">
      <w:pPr>
        <w:pageBreakBefore w:val="0"/>
        <w:kinsoku/>
        <w:overflowPunct/>
        <w:topLinePunct w:val="0"/>
        <w:bidi w:val="0"/>
        <w:spacing w:line="380" w:lineRule="exact"/>
        <w:jc w:val="center"/>
        <w:outlineLvl w:val="0"/>
        <w:rPr>
          <w:rFonts w:hint="eastAsia" w:ascii="宋体" w:hAnsi="宋体" w:eastAsia="宋体" w:cs="宋体"/>
          <w:b/>
          <w:color w:val="auto"/>
          <w:sz w:val="30"/>
          <w:szCs w:val="30"/>
          <w:highlight w:val="none"/>
        </w:rPr>
      </w:pPr>
    </w:p>
    <w:p w14:paraId="273B861D">
      <w:pPr>
        <w:pageBreakBefore w:val="0"/>
        <w:kinsoku/>
        <w:overflowPunct/>
        <w:topLinePunct w:val="0"/>
        <w:bidi w:val="0"/>
        <w:spacing w:line="380" w:lineRule="exact"/>
        <w:jc w:val="center"/>
        <w:outlineLvl w:val="0"/>
        <w:rPr>
          <w:rFonts w:hint="eastAsia" w:ascii="宋体" w:hAnsi="宋体" w:eastAsia="宋体" w:cs="宋体"/>
          <w:b/>
          <w:color w:val="auto"/>
          <w:sz w:val="30"/>
          <w:szCs w:val="30"/>
          <w:highlight w:val="none"/>
        </w:rPr>
      </w:pPr>
    </w:p>
    <w:p w14:paraId="29FA1007">
      <w:pPr>
        <w:pageBreakBefore w:val="0"/>
        <w:kinsoku/>
        <w:overflowPunct/>
        <w:topLinePunct w:val="0"/>
        <w:bidi w:val="0"/>
        <w:spacing w:line="380" w:lineRule="exact"/>
        <w:jc w:val="center"/>
        <w:outlineLvl w:val="0"/>
        <w:rPr>
          <w:rFonts w:hint="eastAsia" w:ascii="宋体" w:hAnsi="宋体" w:eastAsia="宋体" w:cs="宋体"/>
          <w:b/>
          <w:color w:val="auto"/>
          <w:sz w:val="30"/>
          <w:szCs w:val="30"/>
          <w:highlight w:val="none"/>
        </w:rPr>
      </w:pPr>
    </w:p>
    <w:p w14:paraId="796547DD">
      <w:pPr>
        <w:pageBreakBefore w:val="0"/>
        <w:kinsoku/>
        <w:overflowPunct/>
        <w:topLinePunct w:val="0"/>
        <w:bidi w:val="0"/>
        <w:spacing w:line="380" w:lineRule="exact"/>
        <w:jc w:val="center"/>
        <w:outlineLvl w:val="0"/>
        <w:rPr>
          <w:rFonts w:hint="eastAsia" w:ascii="宋体" w:hAnsi="宋体" w:eastAsia="宋体" w:cs="宋体"/>
          <w:b/>
          <w:color w:val="auto"/>
          <w:sz w:val="30"/>
          <w:szCs w:val="30"/>
          <w:highlight w:val="none"/>
        </w:rPr>
      </w:pPr>
    </w:p>
    <w:p w14:paraId="78DD6449">
      <w:pPr>
        <w:pageBreakBefore w:val="0"/>
        <w:kinsoku/>
        <w:overflowPunct/>
        <w:topLinePunct w:val="0"/>
        <w:bidi w:val="0"/>
        <w:spacing w:line="380" w:lineRule="exact"/>
        <w:jc w:val="center"/>
        <w:outlineLvl w:val="0"/>
        <w:rPr>
          <w:rFonts w:hint="eastAsia" w:ascii="宋体" w:hAnsi="宋体" w:eastAsia="宋体" w:cs="宋体"/>
          <w:b/>
          <w:color w:val="auto"/>
          <w:sz w:val="30"/>
          <w:szCs w:val="30"/>
          <w:highlight w:val="none"/>
        </w:rPr>
      </w:pPr>
    </w:p>
    <w:p w14:paraId="050410D3">
      <w:pPr>
        <w:pageBreakBefore w:val="0"/>
        <w:kinsoku/>
        <w:overflowPunct/>
        <w:topLinePunct w:val="0"/>
        <w:bidi w:val="0"/>
        <w:spacing w:line="380" w:lineRule="exact"/>
        <w:jc w:val="center"/>
        <w:outlineLvl w:val="0"/>
        <w:rPr>
          <w:rFonts w:hint="eastAsia" w:ascii="宋体" w:hAnsi="宋体" w:eastAsia="宋体" w:cs="宋体"/>
          <w:b/>
          <w:color w:val="auto"/>
          <w:sz w:val="30"/>
          <w:szCs w:val="30"/>
          <w:highlight w:val="none"/>
        </w:rPr>
      </w:pPr>
    </w:p>
    <w:p w14:paraId="33B5F2D3">
      <w:pPr>
        <w:pageBreakBefore w:val="0"/>
        <w:kinsoku/>
        <w:overflowPunct/>
        <w:topLinePunct w:val="0"/>
        <w:bidi w:val="0"/>
        <w:spacing w:line="380" w:lineRule="exact"/>
        <w:jc w:val="center"/>
        <w:outlineLvl w:val="0"/>
        <w:rPr>
          <w:rFonts w:hint="eastAsia" w:ascii="宋体" w:hAnsi="宋体" w:eastAsia="宋体" w:cs="宋体"/>
          <w:b/>
          <w:color w:val="auto"/>
          <w:sz w:val="30"/>
          <w:szCs w:val="30"/>
          <w:highlight w:val="none"/>
        </w:rPr>
      </w:pPr>
    </w:p>
    <w:p w14:paraId="5CD1BB00">
      <w:pPr>
        <w:pageBreakBefore w:val="0"/>
        <w:kinsoku/>
        <w:overflowPunct/>
        <w:topLinePunct w:val="0"/>
        <w:bidi w:val="0"/>
        <w:spacing w:line="380" w:lineRule="exact"/>
        <w:jc w:val="center"/>
        <w:outlineLvl w:val="0"/>
        <w:rPr>
          <w:rFonts w:hint="eastAsia" w:ascii="宋体" w:hAnsi="宋体" w:eastAsia="宋体" w:cs="宋体"/>
          <w:b/>
          <w:color w:val="auto"/>
          <w:sz w:val="30"/>
          <w:szCs w:val="30"/>
          <w:highlight w:val="none"/>
        </w:rPr>
      </w:pPr>
    </w:p>
    <w:p w14:paraId="7B52C011">
      <w:pPr>
        <w:pageBreakBefore w:val="0"/>
        <w:kinsoku/>
        <w:overflowPunct/>
        <w:topLinePunct w:val="0"/>
        <w:bidi w:val="0"/>
        <w:spacing w:line="380" w:lineRule="exact"/>
        <w:jc w:val="center"/>
        <w:outlineLvl w:val="0"/>
        <w:rPr>
          <w:rFonts w:hint="eastAsia" w:ascii="宋体" w:hAnsi="宋体" w:eastAsia="宋体" w:cs="宋体"/>
          <w:b/>
          <w:color w:val="auto"/>
          <w:sz w:val="30"/>
          <w:szCs w:val="30"/>
          <w:highlight w:val="none"/>
        </w:rPr>
      </w:pPr>
    </w:p>
    <w:p w14:paraId="3AB2690C">
      <w:pPr>
        <w:pageBreakBefore w:val="0"/>
        <w:kinsoku/>
        <w:overflowPunct/>
        <w:topLinePunct w:val="0"/>
        <w:bidi w:val="0"/>
        <w:spacing w:line="380" w:lineRule="exact"/>
        <w:jc w:val="center"/>
        <w:outlineLvl w:val="0"/>
        <w:rPr>
          <w:rFonts w:hint="eastAsia" w:ascii="宋体" w:hAnsi="宋体" w:eastAsia="宋体" w:cs="宋体"/>
          <w:b/>
          <w:color w:val="auto"/>
          <w:sz w:val="30"/>
          <w:szCs w:val="30"/>
          <w:highlight w:val="none"/>
        </w:rPr>
      </w:pPr>
    </w:p>
    <w:p w14:paraId="3A8039C8">
      <w:pPr>
        <w:pageBreakBefore w:val="0"/>
        <w:kinsoku/>
        <w:overflowPunct/>
        <w:topLinePunct w:val="0"/>
        <w:bidi w:val="0"/>
        <w:spacing w:line="380" w:lineRule="exact"/>
        <w:jc w:val="center"/>
        <w:outlineLvl w:val="0"/>
        <w:rPr>
          <w:rFonts w:hint="eastAsia" w:ascii="宋体" w:hAnsi="宋体" w:eastAsia="宋体" w:cs="宋体"/>
          <w:b/>
          <w:color w:val="auto"/>
          <w:sz w:val="30"/>
          <w:szCs w:val="30"/>
          <w:highlight w:val="none"/>
        </w:rPr>
      </w:pPr>
    </w:p>
    <w:p w14:paraId="7CC502BB">
      <w:pPr>
        <w:pageBreakBefore w:val="0"/>
        <w:kinsoku/>
        <w:overflowPunct/>
        <w:topLinePunct w:val="0"/>
        <w:bidi w:val="0"/>
        <w:spacing w:line="380" w:lineRule="exact"/>
        <w:jc w:val="center"/>
        <w:outlineLvl w:val="0"/>
        <w:rPr>
          <w:rFonts w:hint="eastAsia" w:ascii="宋体" w:hAnsi="宋体" w:eastAsia="宋体" w:cs="宋体"/>
          <w:b/>
          <w:color w:val="auto"/>
          <w:sz w:val="30"/>
          <w:szCs w:val="30"/>
          <w:highlight w:val="none"/>
        </w:rPr>
      </w:pPr>
    </w:p>
    <w:p w14:paraId="19504061">
      <w:pPr>
        <w:pageBreakBefore w:val="0"/>
        <w:kinsoku/>
        <w:overflowPunct/>
        <w:topLinePunct w:val="0"/>
        <w:bidi w:val="0"/>
        <w:spacing w:line="380" w:lineRule="exact"/>
        <w:jc w:val="center"/>
        <w:outlineLvl w:val="0"/>
        <w:rPr>
          <w:rFonts w:hint="eastAsia" w:ascii="宋体" w:hAnsi="宋体" w:eastAsia="宋体" w:cs="宋体"/>
          <w:b/>
          <w:color w:val="auto"/>
          <w:sz w:val="30"/>
          <w:szCs w:val="30"/>
          <w:highlight w:val="none"/>
        </w:rPr>
      </w:pPr>
    </w:p>
    <w:p w14:paraId="75A07CDA">
      <w:pPr>
        <w:pageBreakBefore w:val="0"/>
        <w:kinsoku/>
        <w:overflowPunct/>
        <w:topLinePunct w:val="0"/>
        <w:bidi w:val="0"/>
        <w:spacing w:line="380" w:lineRule="exact"/>
        <w:jc w:val="center"/>
        <w:outlineLvl w:val="0"/>
        <w:rPr>
          <w:rFonts w:hint="eastAsia" w:ascii="宋体" w:hAnsi="宋体" w:eastAsia="宋体" w:cs="宋体"/>
          <w:b/>
          <w:color w:val="auto"/>
          <w:sz w:val="30"/>
          <w:szCs w:val="30"/>
          <w:highlight w:val="none"/>
        </w:rPr>
      </w:pPr>
    </w:p>
    <w:p w14:paraId="106D0A23">
      <w:pPr>
        <w:pageBreakBefore w:val="0"/>
        <w:kinsoku/>
        <w:overflowPunct/>
        <w:topLinePunct w:val="0"/>
        <w:bidi w:val="0"/>
        <w:spacing w:line="380" w:lineRule="exact"/>
        <w:jc w:val="both"/>
        <w:outlineLvl w:val="0"/>
        <w:rPr>
          <w:rFonts w:hint="eastAsia" w:ascii="宋体" w:hAnsi="宋体" w:eastAsia="宋体" w:cs="宋体"/>
          <w:b/>
          <w:color w:val="auto"/>
          <w:sz w:val="30"/>
          <w:szCs w:val="30"/>
          <w:highlight w:val="none"/>
        </w:rPr>
      </w:pPr>
    </w:p>
    <w:p w14:paraId="0EC7C4C5">
      <w:pPr>
        <w:pageBreakBefore w:val="0"/>
        <w:kinsoku/>
        <w:overflowPunct/>
        <w:topLinePunct w:val="0"/>
        <w:bidi w:val="0"/>
        <w:spacing w:line="380" w:lineRule="exact"/>
        <w:jc w:val="center"/>
        <w:outlineLvl w:val="0"/>
        <w:rPr>
          <w:rFonts w:hint="eastAsia" w:ascii="宋体" w:hAnsi="宋体" w:eastAsia="宋体" w:cs="宋体"/>
          <w:b/>
          <w:color w:val="auto"/>
          <w:sz w:val="30"/>
          <w:szCs w:val="30"/>
          <w:highlight w:val="none"/>
        </w:rPr>
      </w:pPr>
    </w:p>
    <w:p w14:paraId="63EAC232">
      <w:pPr>
        <w:rPr>
          <w:rFonts w:hint="eastAsia" w:ascii="方正仿宋_GB2312" w:hAnsi="方正仿宋_GB2312" w:eastAsia="方正仿宋_GB2312" w:cs="方正仿宋_GB2312"/>
          <w:b/>
          <w:color w:val="auto"/>
          <w:sz w:val="30"/>
          <w:szCs w:val="30"/>
          <w:highlight w:val="none"/>
        </w:rPr>
      </w:pPr>
      <w:r>
        <w:rPr>
          <w:rFonts w:hint="eastAsia" w:ascii="方正仿宋_GB2312" w:hAnsi="方正仿宋_GB2312" w:eastAsia="方正仿宋_GB2312" w:cs="方正仿宋_GB2312"/>
          <w:b/>
          <w:color w:val="auto"/>
          <w:sz w:val="30"/>
          <w:szCs w:val="30"/>
          <w:highlight w:val="none"/>
        </w:rPr>
        <w:br w:type="page"/>
      </w:r>
    </w:p>
    <w:p w14:paraId="77D26F18">
      <w:pPr>
        <w:pageBreakBefore w:val="0"/>
        <w:kinsoku/>
        <w:overflowPunct/>
        <w:topLinePunct w:val="0"/>
        <w:bidi w:val="0"/>
        <w:spacing w:line="380" w:lineRule="exact"/>
        <w:jc w:val="center"/>
        <w:outlineLvl w:val="0"/>
        <w:rPr>
          <w:rFonts w:hint="eastAsia" w:ascii="方正仿宋_GB2312" w:hAnsi="方正仿宋_GB2312" w:eastAsia="方正仿宋_GB2312" w:cs="方正仿宋_GB2312"/>
          <w:b/>
          <w:color w:val="auto"/>
          <w:sz w:val="30"/>
          <w:szCs w:val="30"/>
          <w:highlight w:val="none"/>
        </w:rPr>
      </w:pPr>
      <w:r>
        <w:rPr>
          <w:rFonts w:hint="eastAsia" w:ascii="方正仿宋_GB2312" w:hAnsi="方正仿宋_GB2312" w:eastAsia="方正仿宋_GB2312" w:cs="方正仿宋_GB2312"/>
          <w:b/>
          <w:color w:val="auto"/>
          <w:sz w:val="30"/>
          <w:szCs w:val="30"/>
          <w:highlight w:val="none"/>
        </w:rPr>
        <w:t>第二章  供应商须知</w:t>
      </w:r>
    </w:p>
    <w:p w14:paraId="0D1116A6">
      <w:pPr>
        <w:pageBreakBefore w:val="0"/>
        <w:kinsoku/>
        <w:wordWrap/>
        <w:overflowPunct/>
        <w:topLinePunct w:val="0"/>
        <w:bidi w:val="0"/>
        <w:adjustRightInd w:val="0"/>
        <w:snapToGrid w:val="0"/>
        <w:spacing w:line="380" w:lineRule="exact"/>
        <w:rPr>
          <w:rFonts w:hint="eastAsia" w:ascii="方正仿宋_GB2312" w:hAnsi="方正仿宋_GB2312" w:eastAsia="方正仿宋_GB2312" w:cs="方正仿宋_GB2312"/>
          <w:color w:val="auto"/>
          <w:sz w:val="24"/>
          <w:highlight w:val="none"/>
          <w:lang w:val="en-US" w:eastAsia="zh-CN"/>
        </w:rPr>
      </w:pPr>
    </w:p>
    <w:p w14:paraId="20B3EEEC">
      <w:pPr>
        <w:keepNext w:val="0"/>
        <w:keepLines w:val="0"/>
        <w:pageBreakBefore w:val="0"/>
        <w:widowControl w:val="0"/>
        <w:kinsoku/>
        <w:wordWrap/>
        <w:overflowPunct/>
        <w:topLinePunct w:val="0"/>
        <w:autoSpaceDE/>
        <w:autoSpaceDN/>
        <w:bidi w:val="0"/>
        <w:spacing w:line="380" w:lineRule="exact"/>
        <w:ind w:firstLine="480"/>
        <w:jc w:val="left"/>
        <w:textAlignment w:val="auto"/>
        <w:outlineLvl w:val="1"/>
        <w:rPr>
          <w:rFonts w:hint="eastAsia" w:ascii="方正仿宋_GB2312" w:hAnsi="方正仿宋_GB2312" w:eastAsia="方正仿宋_GB2312" w:cs="方正仿宋_GB2312"/>
          <w:b/>
          <w:bCs w:val="0"/>
          <w:color w:val="auto"/>
          <w:sz w:val="24"/>
          <w:szCs w:val="24"/>
          <w:highlight w:val="none"/>
        </w:rPr>
      </w:pPr>
      <w:r>
        <w:rPr>
          <w:rFonts w:hint="eastAsia" w:ascii="方正仿宋_GB2312" w:hAnsi="方正仿宋_GB2312" w:eastAsia="方正仿宋_GB2312" w:cs="方正仿宋_GB2312"/>
          <w:b/>
          <w:bCs w:val="0"/>
          <w:color w:val="auto"/>
          <w:sz w:val="24"/>
          <w:szCs w:val="24"/>
          <w:highlight w:val="none"/>
        </w:rPr>
        <w:t>一、总则</w:t>
      </w:r>
    </w:p>
    <w:p w14:paraId="398EFD6B">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1.适用范围</w:t>
      </w:r>
    </w:p>
    <w:p w14:paraId="06D016BC">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本竞争性磋商文件仅适用于本次采购邀请中所述项目的采购。</w:t>
      </w:r>
    </w:p>
    <w:p w14:paraId="34C9C16C">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2.合格的供应商</w:t>
      </w:r>
    </w:p>
    <w:p w14:paraId="49178875">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2.1满足第一章磋商邀请中供应商资格要求的规定。</w:t>
      </w:r>
    </w:p>
    <w:p w14:paraId="4CDF815C">
      <w:pPr>
        <w:keepNext w:val="0"/>
        <w:keepLines w:val="0"/>
        <w:pageBreakBefore w:val="0"/>
        <w:widowControl w:val="0"/>
        <w:kinsoku/>
        <w:wordWrap/>
        <w:overflowPunct/>
        <w:topLinePunct w:val="0"/>
        <w:autoSpaceDE/>
        <w:autoSpaceDN/>
        <w:bidi w:val="0"/>
        <w:spacing w:line="380" w:lineRule="exact"/>
        <w:ind w:firstLine="504"/>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6"/>
          <w:sz w:val="24"/>
          <w:szCs w:val="24"/>
          <w:highlight w:val="none"/>
        </w:rPr>
        <w:t>2.2</w:t>
      </w:r>
      <w:r>
        <w:rPr>
          <w:rFonts w:hint="eastAsia" w:ascii="方正仿宋_GB2312" w:hAnsi="方正仿宋_GB2312" w:eastAsia="方正仿宋_GB2312" w:cs="方正仿宋_GB2312"/>
          <w:color w:val="auto"/>
          <w:sz w:val="24"/>
          <w:szCs w:val="24"/>
          <w:highlight w:val="none"/>
        </w:rPr>
        <w:t>满足磋商文件中实质性条款的规定。</w:t>
      </w:r>
    </w:p>
    <w:p w14:paraId="176DE122">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3.适用法律</w:t>
      </w:r>
    </w:p>
    <w:p w14:paraId="367BB30F">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3.1《中华人民共和国政府采购法》《中华人民共和国政府采购法实施条例》《政府采购竞争性磋商采购方式管理暂行办法》等有关</w:t>
      </w:r>
      <w:r>
        <w:rPr>
          <w:rFonts w:hint="eastAsia" w:ascii="方正仿宋_GB2312" w:hAnsi="方正仿宋_GB2312" w:eastAsia="方正仿宋_GB2312" w:cs="方正仿宋_GB2312"/>
          <w:color w:val="auto"/>
          <w:sz w:val="24"/>
          <w:szCs w:val="24"/>
          <w:highlight w:val="none"/>
          <w:lang w:eastAsia="zh-CN"/>
        </w:rPr>
        <w:t>法律法规</w:t>
      </w:r>
      <w:r>
        <w:rPr>
          <w:rFonts w:hint="eastAsia" w:ascii="方正仿宋_GB2312" w:hAnsi="方正仿宋_GB2312" w:eastAsia="方正仿宋_GB2312" w:cs="方正仿宋_GB2312"/>
          <w:color w:val="auto"/>
          <w:sz w:val="24"/>
          <w:szCs w:val="24"/>
          <w:highlight w:val="none"/>
        </w:rPr>
        <w:t>和</w:t>
      </w:r>
      <w:r>
        <w:rPr>
          <w:rFonts w:hint="eastAsia" w:ascii="方正仿宋_GB2312" w:hAnsi="方正仿宋_GB2312" w:eastAsia="方正仿宋_GB2312" w:cs="方正仿宋_GB2312"/>
          <w:color w:val="auto"/>
          <w:sz w:val="24"/>
          <w:szCs w:val="24"/>
          <w:highlight w:val="none"/>
          <w:lang w:eastAsia="zh-CN"/>
        </w:rPr>
        <w:t>规定</w:t>
      </w:r>
      <w:r>
        <w:rPr>
          <w:rFonts w:hint="eastAsia" w:ascii="方正仿宋_GB2312" w:hAnsi="方正仿宋_GB2312" w:eastAsia="方正仿宋_GB2312" w:cs="方正仿宋_GB2312"/>
          <w:color w:val="auto"/>
          <w:sz w:val="24"/>
          <w:szCs w:val="24"/>
          <w:highlight w:val="none"/>
        </w:rPr>
        <w:t>。</w:t>
      </w:r>
    </w:p>
    <w:p w14:paraId="738BEC16">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4.磋商费用</w:t>
      </w:r>
    </w:p>
    <w:p w14:paraId="7A33CA1B">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4.1供应商应自行承担所有与参加磋商有关的费用。不论磋商的结果如何，</w:t>
      </w:r>
      <w:bookmarkStart w:id="23" w:name="OLE_LINK36"/>
      <w:r>
        <w:rPr>
          <w:rFonts w:hint="eastAsia" w:ascii="方正仿宋_GB2312" w:hAnsi="方正仿宋_GB2312" w:eastAsia="方正仿宋_GB2312" w:cs="方正仿宋_GB2312"/>
          <w:color w:val="auto"/>
          <w:sz w:val="24"/>
          <w:szCs w:val="24"/>
          <w:highlight w:val="none"/>
          <w:lang w:val="en-US" w:eastAsia="zh-CN"/>
        </w:rPr>
        <w:t>盱眙</w:t>
      </w:r>
      <w:r>
        <w:rPr>
          <w:rFonts w:hint="eastAsia" w:ascii="方正仿宋_GB2312" w:hAnsi="方正仿宋_GB2312" w:eastAsia="方正仿宋_GB2312" w:cs="方正仿宋_GB2312"/>
          <w:color w:val="auto"/>
          <w:sz w:val="24"/>
          <w:szCs w:val="24"/>
          <w:highlight w:val="none"/>
        </w:rPr>
        <w:t>县政府采购中心</w:t>
      </w:r>
      <w:bookmarkEnd w:id="23"/>
      <w:r>
        <w:rPr>
          <w:rFonts w:hint="eastAsia" w:ascii="方正仿宋_GB2312" w:hAnsi="方正仿宋_GB2312" w:eastAsia="方正仿宋_GB2312" w:cs="方正仿宋_GB2312"/>
          <w:color w:val="auto"/>
          <w:sz w:val="24"/>
          <w:szCs w:val="24"/>
          <w:highlight w:val="none"/>
        </w:rPr>
        <w:t>（以下简称采购中心）、采购人（代理机构）在任何情况下均无义务和责任承担这些费用。</w:t>
      </w:r>
    </w:p>
    <w:p w14:paraId="6FD64B1A">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4.2采购代理</w:t>
      </w:r>
      <w:r>
        <w:rPr>
          <w:rFonts w:hint="eastAsia" w:ascii="方正仿宋_GB2312" w:hAnsi="方正仿宋_GB2312" w:eastAsia="方正仿宋_GB2312" w:cs="方正仿宋_GB2312"/>
          <w:color w:val="auto"/>
          <w:sz w:val="24"/>
          <w:szCs w:val="24"/>
          <w:highlight w:val="none"/>
          <w:lang w:eastAsia="zh-CN"/>
        </w:rPr>
        <w:t>机构（</w:t>
      </w:r>
      <w:r>
        <w:rPr>
          <w:rFonts w:hint="eastAsia" w:ascii="方正仿宋_GB2312" w:hAnsi="方正仿宋_GB2312" w:eastAsia="方正仿宋_GB2312" w:cs="方正仿宋_GB2312"/>
          <w:color w:val="auto"/>
          <w:sz w:val="24"/>
          <w:szCs w:val="24"/>
          <w:highlight w:val="none"/>
        </w:rPr>
        <w:t>下称代理机构）：采购人委托</w:t>
      </w:r>
      <w:r>
        <w:rPr>
          <w:rFonts w:hint="eastAsia" w:ascii="方正仿宋_GB2312" w:hAnsi="方正仿宋_GB2312" w:eastAsia="方正仿宋_GB2312" w:cs="方正仿宋_GB2312"/>
          <w:color w:val="auto"/>
          <w:sz w:val="24"/>
          <w:szCs w:val="24"/>
          <w:highlight w:val="none"/>
          <w:lang w:eastAsia="zh-CN"/>
        </w:rPr>
        <w:t>江苏新时代工程项目管理有限公司</w:t>
      </w:r>
      <w:r>
        <w:rPr>
          <w:rFonts w:hint="eastAsia" w:ascii="方正仿宋_GB2312" w:hAnsi="方正仿宋_GB2312" w:eastAsia="方正仿宋_GB2312" w:cs="方正仿宋_GB2312"/>
          <w:color w:val="auto"/>
          <w:sz w:val="24"/>
          <w:szCs w:val="24"/>
          <w:highlight w:val="none"/>
        </w:rPr>
        <w:t>负责代理本项目的相关事宜。</w:t>
      </w:r>
    </w:p>
    <w:p w14:paraId="2F7AAC54">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4.3本次项目不收取文件工本费和成交管理费。</w:t>
      </w:r>
    </w:p>
    <w:p w14:paraId="7EA0D18A">
      <w:pPr>
        <w:keepNext w:val="0"/>
        <w:keepLines w:val="0"/>
        <w:pageBreakBefore w:val="0"/>
        <w:widowControl w:val="0"/>
        <w:kinsoku/>
        <w:wordWrap/>
        <w:overflowPunct/>
        <w:topLinePunct w:val="0"/>
        <w:autoSpaceDE/>
        <w:autoSpaceDN/>
        <w:bidi w:val="0"/>
        <w:spacing w:line="380" w:lineRule="exact"/>
        <w:ind w:firstLine="480"/>
        <w:jc w:val="left"/>
        <w:textAlignment w:val="auto"/>
        <w:outlineLvl w:val="1"/>
        <w:rPr>
          <w:rFonts w:hint="eastAsia" w:ascii="方正仿宋_GB2312" w:hAnsi="方正仿宋_GB2312" w:eastAsia="方正仿宋_GB2312" w:cs="方正仿宋_GB2312"/>
          <w:b/>
          <w:bCs w:val="0"/>
          <w:color w:val="auto"/>
          <w:sz w:val="24"/>
          <w:szCs w:val="24"/>
          <w:highlight w:val="none"/>
        </w:rPr>
      </w:pPr>
      <w:r>
        <w:rPr>
          <w:rFonts w:hint="eastAsia" w:ascii="方正仿宋_GB2312" w:hAnsi="方正仿宋_GB2312" w:eastAsia="方正仿宋_GB2312" w:cs="方正仿宋_GB2312"/>
          <w:b/>
          <w:bCs w:val="0"/>
          <w:color w:val="auto"/>
          <w:sz w:val="24"/>
          <w:szCs w:val="24"/>
          <w:highlight w:val="none"/>
        </w:rPr>
        <w:t>二、磋商文件</w:t>
      </w:r>
    </w:p>
    <w:p w14:paraId="2C57CC96">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5.磋商文件由以下部分组成：</w:t>
      </w:r>
    </w:p>
    <w:p w14:paraId="405E9E68">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5.1磋商邀请</w:t>
      </w:r>
    </w:p>
    <w:p w14:paraId="6DEB7620">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5.2供应商须知</w:t>
      </w:r>
    </w:p>
    <w:p w14:paraId="5045FF42">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5.3评标标准</w:t>
      </w:r>
    </w:p>
    <w:p w14:paraId="3E119AB1">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5.4项目采购需求</w:t>
      </w:r>
    </w:p>
    <w:p w14:paraId="349CEE7D">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5.5合同格式及条款</w:t>
      </w:r>
    </w:p>
    <w:p w14:paraId="2A9DF6FD">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5.6响应文件格式</w:t>
      </w:r>
    </w:p>
    <w:p w14:paraId="0BD0FB5A">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6.磋商文件的澄清</w:t>
      </w:r>
    </w:p>
    <w:p w14:paraId="0CC7C9CA">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p>
    <w:p w14:paraId="33BBA06A">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7.磋商文件的更正或补充</w:t>
      </w:r>
    </w:p>
    <w:p w14:paraId="55EDF23B">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7.1在磋商时间前，采购人（代理机构）可主动或在解答供应商提出的澄清问题时对磋商文件用更正公告的方式进行修正。</w:t>
      </w:r>
    </w:p>
    <w:p w14:paraId="4096D447">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7.2对磋商文件的修改将在</w:t>
      </w:r>
      <w:r>
        <w:rPr>
          <w:rFonts w:hint="eastAsia" w:ascii="方正仿宋_GB2312" w:hAnsi="方正仿宋_GB2312" w:eastAsia="方正仿宋_GB2312" w:cs="方正仿宋_GB2312"/>
          <w:color w:val="auto"/>
          <w:sz w:val="24"/>
          <w:szCs w:val="24"/>
          <w:highlight w:val="none"/>
          <w:lang w:eastAsia="zh-CN"/>
        </w:rPr>
        <w:t>江苏省政府采购网、淮安市政府采购网、淮安市公共资源交易中心</w:t>
      </w:r>
      <w:r>
        <w:rPr>
          <w:rFonts w:hint="eastAsia" w:ascii="方正仿宋_GB2312" w:hAnsi="方正仿宋_GB2312" w:eastAsia="方正仿宋_GB2312" w:cs="方正仿宋_GB2312"/>
          <w:color w:val="auto"/>
          <w:sz w:val="24"/>
          <w:szCs w:val="24"/>
          <w:highlight w:val="none"/>
        </w:rPr>
        <w:t>官网进行公告，同时通过电子交易平台通知所有已获取磋商文件的供应商。更正公告将作为磋商文件的组成部分，对所有参加本次磋商的供应商都具有约束力。</w:t>
      </w:r>
    </w:p>
    <w:p w14:paraId="30D1A4DE">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7.3供应商须持续关注本项目在淮安市公共资源交易中心官网、淮安市政府采购网及电子化系统中发布的信息（含更正、修改等信息），否则产生的后果由供应商自行承担。</w:t>
      </w:r>
    </w:p>
    <w:p w14:paraId="67DE9BF9">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7.4为使供应商有足够的时间按磋商文件的更正要求修正响应文件，采购人（代理机构）有权按照相关法定的要求推迟响应文件接收截止时间和磋商时间。</w:t>
      </w:r>
    </w:p>
    <w:p w14:paraId="7E36828F">
      <w:pPr>
        <w:keepNext w:val="0"/>
        <w:keepLines w:val="0"/>
        <w:pageBreakBefore w:val="0"/>
        <w:widowControl w:val="0"/>
        <w:kinsoku/>
        <w:wordWrap/>
        <w:overflowPunct/>
        <w:topLinePunct w:val="0"/>
        <w:autoSpaceDE/>
        <w:autoSpaceDN/>
        <w:bidi w:val="0"/>
        <w:spacing w:line="380" w:lineRule="exact"/>
        <w:ind w:firstLine="480"/>
        <w:jc w:val="left"/>
        <w:textAlignment w:val="auto"/>
        <w:outlineLvl w:val="1"/>
        <w:rPr>
          <w:rFonts w:hint="eastAsia" w:ascii="方正仿宋_GB2312" w:hAnsi="方正仿宋_GB2312" w:eastAsia="方正仿宋_GB2312" w:cs="方正仿宋_GB2312"/>
          <w:b/>
          <w:bCs w:val="0"/>
          <w:color w:val="auto"/>
          <w:sz w:val="24"/>
          <w:szCs w:val="24"/>
          <w:highlight w:val="none"/>
        </w:rPr>
      </w:pPr>
      <w:r>
        <w:rPr>
          <w:rFonts w:hint="eastAsia" w:ascii="方正仿宋_GB2312" w:hAnsi="方正仿宋_GB2312" w:eastAsia="方正仿宋_GB2312" w:cs="方正仿宋_GB2312"/>
          <w:b/>
          <w:bCs w:val="0"/>
          <w:color w:val="auto"/>
          <w:sz w:val="24"/>
          <w:szCs w:val="24"/>
          <w:highlight w:val="none"/>
        </w:rPr>
        <w:t>三、响应文件的编制</w:t>
      </w:r>
    </w:p>
    <w:p w14:paraId="2ABB562A">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8.响应文件的构成</w:t>
      </w:r>
    </w:p>
    <w:p w14:paraId="644645B8">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8.1磋商供应商编写的响应文件应按磋商文件第六章“响应文件格式”中的要求进行编写。</w:t>
      </w:r>
    </w:p>
    <w:p w14:paraId="4D14C2F2">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8.2供应商编写的投标文件应包括资格证明文件、符合性证明文件、投标分项报价表、技术要求响应及偏离表、商务要求响应及偏离表、其他证明文件、投标函、开标一览表等部分。</w:t>
      </w:r>
    </w:p>
    <w:p w14:paraId="66A370CB">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8.3如标书制作工具中格式和内容与“淮安市政府采购网</w:t>
      </w:r>
      <w:r>
        <w:rPr>
          <w:rFonts w:hint="eastAsia" w:ascii="方正仿宋_GB2312" w:hAnsi="方正仿宋_GB2312" w:eastAsia="方正仿宋_GB2312" w:cs="方正仿宋_GB2312"/>
          <w:bCs/>
          <w:color w:val="auto"/>
          <w:sz w:val="24"/>
          <w:szCs w:val="24"/>
          <w:highlight w:val="none"/>
          <w:lang w:eastAsia="zh-CN"/>
        </w:rPr>
        <w:t>”“</w:t>
      </w:r>
      <w:r>
        <w:rPr>
          <w:rFonts w:hint="eastAsia" w:ascii="方正仿宋_GB2312" w:hAnsi="方正仿宋_GB2312" w:eastAsia="方正仿宋_GB2312" w:cs="方正仿宋_GB2312"/>
          <w:bCs/>
          <w:color w:val="auto"/>
          <w:sz w:val="24"/>
          <w:szCs w:val="24"/>
          <w:highlight w:val="none"/>
        </w:rPr>
        <w:t>淮安市公共资源交易网”发布的招标文件不一致，请以“淮安市政府采购网</w:t>
      </w:r>
      <w:r>
        <w:rPr>
          <w:rFonts w:hint="eastAsia" w:ascii="方正仿宋_GB2312" w:hAnsi="方正仿宋_GB2312" w:eastAsia="方正仿宋_GB2312" w:cs="方正仿宋_GB2312"/>
          <w:bCs/>
          <w:color w:val="auto"/>
          <w:sz w:val="24"/>
          <w:szCs w:val="24"/>
          <w:highlight w:val="none"/>
          <w:lang w:eastAsia="zh-CN"/>
        </w:rPr>
        <w:t>”“</w:t>
      </w:r>
      <w:r>
        <w:rPr>
          <w:rFonts w:hint="eastAsia" w:ascii="方正仿宋_GB2312" w:hAnsi="方正仿宋_GB2312" w:eastAsia="方正仿宋_GB2312" w:cs="方正仿宋_GB2312"/>
          <w:bCs/>
          <w:color w:val="auto"/>
          <w:sz w:val="24"/>
          <w:szCs w:val="24"/>
          <w:highlight w:val="none"/>
        </w:rPr>
        <w:t>淮安市公共资源交易网”发布的招标文件为准。</w:t>
      </w:r>
    </w:p>
    <w:p w14:paraId="7FBB03B9">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9.磋商报价</w:t>
      </w:r>
    </w:p>
    <w:p w14:paraId="78083E8E">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9.1本次项目投标报价应是竞争性磋商文件所确定完成本项目全部工作内容的价格体现</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lang w:val="en-US" w:eastAsia="zh-CN"/>
        </w:rPr>
        <w:t>全费用报价</w:t>
      </w:r>
      <w:r>
        <w:rPr>
          <w:rFonts w:hint="eastAsia" w:ascii="方正仿宋_GB2312" w:hAnsi="方正仿宋_GB2312" w:eastAsia="方正仿宋_GB2312" w:cs="方正仿宋_GB2312"/>
          <w:color w:val="auto"/>
          <w:sz w:val="24"/>
          <w:szCs w:val="24"/>
          <w:highlight w:val="none"/>
        </w:rPr>
        <w:t>，供应商的报价应包含</w:t>
      </w:r>
      <w:r>
        <w:rPr>
          <w:rFonts w:hint="eastAsia" w:ascii="方正仿宋_GB2312" w:hAnsi="方正仿宋_GB2312" w:eastAsia="方正仿宋_GB2312" w:cs="方正仿宋_GB2312"/>
          <w:color w:val="auto"/>
          <w:sz w:val="24"/>
          <w:szCs w:val="24"/>
          <w:highlight w:val="none"/>
          <w:lang w:val="en-US" w:eastAsia="zh-CN"/>
        </w:rPr>
        <w:t>所有</w:t>
      </w:r>
      <w:r>
        <w:rPr>
          <w:rFonts w:hint="eastAsia" w:ascii="方正仿宋_GB2312" w:hAnsi="方正仿宋_GB2312" w:eastAsia="方正仿宋_GB2312" w:cs="方正仿宋_GB2312"/>
          <w:color w:val="auto"/>
          <w:sz w:val="24"/>
          <w:szCs w:val="24"/>
          <w:highlight w:val="none"/>
        </w:rPr>
        <w:t>前期现场勘查费</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资料收集与梳理费、</w:t>
      </w:r>
      <w:r>
        <w:rPr>
          <w:rFonts w:hint="eastAsia" w:ascii="方正仿宋_GB2312" w:hAnsi="方正仿宋_GB2312" w:eastAsia="方正仿宋_GB2312" w:cs="方正仿宋_GB2312"/>
          <w:color w:val="auto"/>
          <w:sz w:val="24"/>
          <w:szCs w:val="24"/>
          <w:highlight w:val="none"/>
          <w:lang w:val="en-US" w:eastAsia="zh-CN"/>
        </w:rPr>
        <w:t>安全风险评估</w:t>
      </w:r>
      <w:r>
        <w:rPr>
          <w:rFonts w:hint="eastAsia" w:ascii="方正仿宋_GB2312" w:hAnsi="方正仿宋_GB2312" w:eastAsia="方正仿宋_GB2312" w:cs="方正仿宋_GB2312"/>
          <w:color w:val="auto"/>
          <w:sz w:val="24"/>
          <w:szCs w:val="24"/>
          <w:highlight w:val="none"/>
        </w:rPr>
        <w:t>报告编制费</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评审及修改费</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技术咨询及现场配合费</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成果交付及资料归档费</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人员及办公费</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lang w:val="en-US" w:eastAsia="zh-CN"/>
        </w:rPr>
        <w:t>差旅、</w:t>
      </w:r>
      <w:r>
        <w:rPr>
          <w:rFonts w:hint="eastAsia" w:ascii="方正仿宋_GB2312" w:hAnsi="方正仿宋_GB2312" w:eastAsia="方正仿宋_GB2312" w:cs="方正仿宋_GB2312"/>
          <w:color w:val="auto"/>
          <w:sz w:val="24"/>
          <w:szCs w:val="24"/>
          <w:highlight w:val="none"/>
        </w:rPr>
        <w:t>税费</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其他相关费用</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完成本</w:t>
      </w:r>
      <w:r>
        <w:rPr>
          <w:rFonts w:hint="eastAsia" w:ascii="方正仿宋_GB2312" w:hAnsi="方正仿宋_GB2312" w:eastAsia="方正仿宋_GB2312" w:cs="方正仿宋_GB2312"/>
          <w:color w:val="auto"/>
          <w:sz w:val="24"/>
          <w:szCs w:val="24"/>
          <w:highlight w:val="none"/>
          <w:lang w:val="en-US" w:eastAsia="zh-CN"/>
        </w:rPr>
        <w:t>项目</w:t>
      </w:r>
      <w:r>
        <w:rPr>
          <w:rFonts w:hint="eastAsia" w:ascii="方正仿宋_GB2312" w:hAnsi="方正仿宋_GB2312" w:eastAsia="方正仿宋_GB2312" w:cs="方正仿宋_GB2312"/>
          <w:color w:val="auto"/>
          <w:sz w:val="24"/>
          <w:szCs w:val="24"/>
          <w:highlight w:val="none"/>
        </w:rPr>
        <w:t>约定服务所需的其他辅助费用</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以及与</w:t>
      </w:r>
      <w:r>
        <w:rPr>
          <w:rFonts w:hint="eastAsia" w:ascii="方正仿宋_GB2312" w:hAnsi="方正仿宋_GB2312" w:eastAsia="方正仿宋_GB2312" w:cs="方正仿宋_GB2312"/>
          <w:color w:val="auto"/>
          <w:sz w:val="24"/>
          <w:szCs w:val="24"/>
          <w:highlight w:val="none"/>
          <w:lang w:eastAsia="zh-CN"/>
        </w:rPr>
        <w:t>本</w:t>
      </w:r>
      <w:r>
        <w:rPr>
          <w:rFonts w:hint="eastAsia" w:ascii="方正仿宋_GB2312" w:hAnsi="方正仿宋_GB2312" w:eastAsia="方正仿宋_GB2312" w:cs="方正仿宋_GB2312"/>
          <w:color w:val="auto"/>
          <w:sz w:val="24"/>
          <w:szCs w:val="24"/>
          <w:highlight w:val="none"/>
        </w:rPr>
        <w:t>项目有关的所有费用（组成详见采购需求），如有疑问应在本文件规定时间内提出，供应商被确定为成交候选人后，合同价格不作调整（合同另有约定及不可抗力除外）。</w:t>
      </w:r>
    </w:p>
    <w:p w14:paraId="788C1030">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9.2供应商的任何错漏、优惠、竞争性报价不得作为减轻责任、减少服务、增加收费、降低质量的理由。</w:t>
      </w:r>
    </w:p>
    <w:p w14:paraId="2D35ED4E">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9.3采购人（代理机构）不接受备选的方案或有选择的报价。</w:t>
      </w:r>
    </w:p>
    <w:p w14:paraId="09245243">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9.4磋商报价应以人民币为货币单位。</w:t>
      </w:r>
    </w:p>
    <w:p w14:paraId="7C4CB186">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bookmarkStart w:id="24" w:name="_Toc4104"/>
      <w:r>
        <w:rPr>
          <w:rFonts w:hint="eastAsia" w:ascii="方正仿宋_GB2312" w:hAnsi="方正仿宋_GB2312" w:eastAsia="方正仿宋_GB2312" w:cs="方正仿宋_GB2312"/>
          <w:bCs/>
          <w:color w:val="auto"/>
          <w:sz w:val="24"/>
          <w:szCs w:val="24"/>
          <w:highlight w:val="none"/>
        </w:rPr>
        <w:t>10.技术要求响应偏离</w:t>
      </w:r>
      <w:bookmarkEnd w:id="24"/>
    </w:p>
    <w:p w14:paraId="45876A4A">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10.1供应商应对磋商文件中的技术要求逐项作出响应或偏离，否则将被拒绝。</w:t>
      </w:r>
    </w:p>
    <w:p w14:paraId="6BF00E5E">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11.服务承诺</w:t>
      </w:r>
    </w:p>
    <w:p w14:paraId="66069788">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11.1供应商的服务承诺应按不低于磋商文件中服务要求的标准。</w:t>
      </w:r>
    </w:p>
    <w:p w14:paraId="6E291C10">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12.证明供应商资格的文件</w:t>
      </w:r>
    </w:p>
    <w:p w14:paraId="3409109B">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12.1供应商应按要求提交资格证明文件及符合磋商文件规定的文件。</w:t>
      </w:r>
    </w:p>
    <w:p w14:paraId="47563DB7">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12.2供应商除必须具有履行合同所需提供的货物和服务的能力外，还必须具备相应的财务、技术方面的能力。</w:t>
      </w:r>
    </w:p>
    <w:p w14:paraId="742EEE5C">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13.磋商保证金</w:t>
      </w:r>
    </w:p>
    <w:p w14:paraId="75E65F1C">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本项目无需缴纳磋商保证金。</w:t>
      </w:r>
    </w:p>
    <w:p w14:paraId="565843C3">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14.磋商有效期</w:t>
      </w:r>
    </w:p>
    <w:p w14:paraId="30795A0B">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color w:val="auto"/>
          <w:sz w:val="24"/>
          <w:szCs w:val="24"/>
          <w:highlight w:val="none"/>
        </w:rPr>
        <w:t>14.1磋商有效期为从磋商之日起计算的</w:t>
      </w:r>
      <w:r>
        <w:rPr>
          <w:rFonts w:hint="eastAsia" w:ascii="方正仿宋_GB2312" w:hAnsi="方正仿宋_GB2312" w:eastAsia="方正仿宋_GB2312" w:cs="方正仿宋_GB2312"/>
          <w:color w:val="auto"/>
          <w:sz w:val="24"/>
          <w:szCs w:val="24"/>
          <w:highlight w:val="none"/>
          <w:lang w:val="en-US" w:eastAsia="zh-CN"/>
        </w:rPr>
        <w:t>九十日历</w:t>
      </w:r>
      <w:r>
        <w:rPr>
          <w:rFonts w:hint="eastAsia" w:ascii="方正仿宋_GB2312" w:hAnsi="方正仿宋_GB2312" w:eastAsia="方正仿宋_GB2312" w:cs="方正仿宋_GB2312"/>
          <w:color w:val="auto"/>
          <w:sz w:val="24"/>
          <w:szCs w:val="24"/>
          <w:highlight w:val="none"/>
        </w:rPr>
        <w:t>天</w:t>
      </w:r>
      <w:r>
        <w:rPr>
          <w:rFonts w:hint="eastAsia" w:ascii="方正仿宋_GB2312" w:hAnsi="方正仿宋_GB2312" w:eastAsia="方正仿宋_GB2312" w:cs="方正仿宋_GB2312"/>
          <w:b/>
          <w:color w:val="auto"/>
          <w:sz w:val="24"/>
          <w:szCs w:val="24"/>
          <w:highlight w:val="none"/>
        </w:rPr>
        <w:t>。</w:t>
      </w:r>
      <w:r>
        <w:rPr>
          <w:rFonts w:hint="eastAsia" w:ascii="方正仿宋_GB2312" w:hAnsi="方正仿宋_GB2312" w:eastAsia="方正仿宋_GB2312" w:cs="方正仿宋_GB2312"/>
          <w:color w:val="auto"/>
          <w:sz w:val="24"/>
          <w:szCs w:val="24"/>
          <w:highlight w:val="none"/>
        </w:rPr>
        <w:t>磋商有效期比规定短的将被视为</w:t>
      </w:r>
      <w:r>
        <w:rPr>
          <w:rFonts w:hint="eastAsia" w:ascii="方正仿宋_GB2312" w:hAnsi="方正仿宋_GB2312" w:eastAsia="方正仿宋_GB2312" w:cs="方正仿宋_GB2312"/>
          <w:color w:val="auto"/>
          <w:sz w:val="24"/>
          <w:szCs w:val="24"/>
          <w:highlight w:val="none"/>
          <w:lang w:val="zh-CN"/>
        </w:rPr>
        <w:t>非响应磋商而予以拒绝。</w:t>
      </w:r>
    </w:p>
    <w:p w14:paraId="0F70C6B4">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14.2</w:t>
      </w:r>
      <w:r>
        <w:rPr>
          <w:rFonts w:hint="eastAsia" w:ascii="方正仿宋_GB2312" w:hAnsi="方正仿宋_GB2312" w:eastAsia="方正仿宋_GB2312" w:cs="方正仿宋_GB2312"/>
          <w:color w:val="auto"/>
          <w:sz w:val="24"/>
          <w:szCs w:val="24"/>
          <w:highlight w:val="none"/>
        </w:rPr>
        <w:t>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p>
    <w:p w14:paraId="6F893C81">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15.响应文件的签署</w:t>
      </w:r>
    </w:p>
    <w:p w14:paraId="36D97DC8">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15.1响应文件仅需要在供应商进行签章的位置应进行电子签章。电子响应文件不得涂改、行间插字或删除，如果出现上述情况应重新编制。</w:t>
      </w:r>
    </w:p>
    <w:p w14:paraId="2598B3EE">
      <w:pPr>
        <w:keepNext w:val="0"/>
        <w:keepLines w:val="0"/>
        <w:pageBreakBefore w:val="0"/>
        <w:widowControl w:val="0"/>
        <w:kinsoku/>
        <w:wordWrap/>
        <w:overflowPunct/>
        <w:topLinePunct w:val="0"/>
        <w:autoSpaceDE/>
        <w:autoSpaceDN/>
        <w:bidi w:val="0"/>
        <w:spacing w:line="380" w:lineRule="exact"/>
        <w:ind w:firstLine="480"/>
        <w:jc w:val="left"/>
        <w:textAlignment w:val="auto"/>
        <w:outlineLvl w:val="1"/>
        <w:rPr>
          <w:rFonts w:hint="eastAsia" w:ascii="方正仿宋_GB2312" w:hAnsi="方正仿宋_GB2312" w:eastAsia="方正仿宋_GB2312" w:cs="方正仿宋_GB2312"/>
          <w:b/>
          <w:bCs w:val="0"/>
          <w:color w:val="auto"/>
          <w:sz w:val="24"/>
          <w:szCs w:val="24"/>
          <w:highlight w:val="none"/>
        </w:rPr>
      </w:pPr>
      <w:r>
        <w:rPr>
          <w:rFonts w:hint="eastAsia" w:ascii="方正仿宋_GB2312" w:hAnsi="方正仿宋_GB2312" w:eastAsia="方正仿宋_GB2312" w:cs="方正仿宋_GB2312"/>
          <w:b/>
          <w:bCs w:val="0"/>
          <w:color w:val="auto"/>
          <w:sz w:val="24"/>
          <w:szCs w:val="24"/>
          <w:highlight w:val="none"/>
        </w:rPr>
        <w:t>四、响应文件的递交</w:t>
      </w:r>
    </w:p>
    <w:p w14:paraId="01AABCB6">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16.响应文件的递交及接收截止时间</w:t>
      </w:r>
    </w:p>
    <w:p w14:paraId="476EF9A7">
      <w:pPr>
        <w:pStyle w:val="28"/>
        <w:keepNext w:val="0"/>
        <w:keepLines w:val="0"/>
        <w:pageBreakBefore w:val="0"/>
        <w:widowControl w:val="0"/>
        <w:kinsoku/>
        <w:wordWrap/>
        <w:overflowPunct/>
        <w:topLinePunct w:val="0"/>
        <w:autoSpaceDE/>
        <w:autoSpaceDN/>
        <w:bidi w:val="0"/>
        <w:spacing w:after="0" w:line="380" w:lineRule="exact"/>
        <w:ind w:left="0"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16.1供应商应当按照《操作手册》规定，在投标截止时间前制作并上传电子投标文件。供应商应</w:t>
      </w:r>
      <w:r>
        <w:rPr>
          <w:rFonts w:hint="eastAsia" w:ascii="方正仿宋_GB2312" w:hAnsi="方正仿宋_GB2312" w:eastAsia="方正仿宋_GB2312" w:cs="方正仿宋_GB2312"/>
          <w:color w:val="auto"/>
          <w:sz w:val="24"/>
          <w:szCs w:val="24"/>
          <w:highlight w:val="none"/>
          <w:lang w:eastAsia="zh-CN"/>
        </w:rPr>
        <w:t>充分考虑</w:t>
      </w:r>
      <w:r>
        <w:rPr>
          <w:rFonts w:hint="eastAsia" w:ascii="方正仿宋_GB2312" w:hAnsi="方正仿宋_GB2312" w:eastAsia="方正仿宋_GB2312" w:cs="方正仿宋_GB2312"/>
          <w:color w:val="auto"/>
          <w:sz w:val="24"/>
          <w:szCs w:val="24"/>
          <w:highlight w:val="none"/>
        </w:rPr>
        <w:t>网络环境、网络带宽等风险因素，如因供应商自身原因造成的电子投标文件上传不成功的按照无效投标处理。</w:t>
      </w:r>
    </w:p>
    <w:p w14:paraId="151D026A">
      <w:pPr>
        <w:pStyle w:val="28"/>
        <w:keepNext w:val="0"/>
        <w:keepLines w:val="0"/>
        <w:pageBreakBefore w:val="0"/>
        <w:widowControl w:val="0"/>
        <w:kinsoku/>
        <w:wordWrap/>
        <w:overflowPunct/>
        <w:topLinePunct w:val="0"/>
        <w:autoSpaceDE/>
        <w:autoSpaceDN/>
        <w:bidi w:val="0"/>
        <w:spacing w:after="0" w:line="380" w:lineRule="exact"/>
        <w:ind w:left="0" w:firstLine="480"/>
        <w:jc w:val="left"/>
        <w:textAlignment w:val="auto"/>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16.2供应商上传的电子响应文件内容不清楚或不清晰的（含扫描件），造成无法评审或部分影响评审的，</w:t>
      </w:r>
      <w:r>
        <w:rPr>
          <w:rFonts w:hint="eastAsia" w:ascii="方正仿宋_GB2312" w:hAnsi="方正仿宋_GB2312" w:eastAsia="方正仿宋_GB2312" w:cs="方正仿宋_GB2312"/>
          <w:color w:val="auto"/>
          <w:sz w:val="24"/>
          <w:szCs w:val="24"/>
          <w:highlight w:val="none"/>
          <w:lang w:val="zh-CN"/>
        </w:rPr>
        <w:t>责任由</w:t>
      </w:r>
      <w:r>
        <w:rPr>
          <w:rFonts w:hint="eastAsia" w:ascii="方正仿宋_GB2312" w:hAnsi="方正仿宋_GB2312" w:eastAsia="方正仿宋_GB2312" w:cs="方正仿宋_GB2312"/>
          <w:color w:val="auto"/>
          <w:sz w:val="24"/>
          <w:szCs w:val="24"/>
          <w:highlight w:val="none"/>
        </w:rPr>
        <w:t>供应商</w:t>
      </w:r>
      <w:r>
        <w:rPr>
          <w:rFonts w:hint="eastAsia" w:ascii="方正仿宋_GB2312" w:hAnsi="方正仿宋_GB2312" w:eastAsia="方正仿宋_GB2312" w:cs="方正仿宋_GB2312"/>
          <w:color w:val="auto"/>
          <w:sz w:val="24"/>
          <w:szCs w:val="24"/>
          <w:highlight w:val="none"/>
          <w:lang w:val="zh-CN"/>
        </w:rPr>
        <w:t>自负。</w:t>
      </w:r>
    </w:p>
    <w:p w14:paraId="65E7C512">
      <w:pPr>
        <w:pStyle w:val="28"/>
        <w:keepNext w:val="0"/>
        <w:keepLines w:val="0"/>
        <w:pageBreakBefore w:val="0"/>
        <w:widowControl w:val="0"/>
        <w:kinsoku/>
        <w:wordWrap/>
        <w:overflowPunct/>
        <w:topLinePunct w:val="0"/>
        <w:autoSpaceDE/>
        <w:autoSpaceDN/>
        <w:bidi w:val="0"/>
        <w:spacing w:after="0" w:line="380" w:lineRule="exact"/>
        <w:ind w:left="0"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16.3供应商上传电子响应文件的时间不得迟于磋商邀请中规定的截止时间。</w:t>
      </w:r>
    </w:p>
    <w:p w14:paraId="4F5C91CB">
      <w:pPr>
        <w:pStyle w:val="28"/>
        <w:keepNext w:val="0"/>
        <w:keepLines w:val="0"/>
        <w:pageBreakBefore w:val="0"/>
        <w:widowControl w:val="0"/>
        <w:kinsoku/>
        <w:wordWrap/>
        <w:overflowPunct/>
        <w:topLinePunct w:val="0"/>
        <w:autoSpaceDE/>
        <w:autoSpaceDN/>
        <w:bidi w:val="0"/>
        <w:spacing w:after="0" w:line="380" w:lineRule="exact"/>
        <w:ind w:left="0"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16.4采购人（代理机构）可以按第7条规定，通过修改磋商文件有权酌情延长响应文件接收截止时间。在此情况下，供应商的所有权利和义务以及供应商受制约的截止日期均应以延长后新的截止日期为准。</w:t>
      </w:r>
    </w:p>
    <w:p w14:paraId="25D775B2">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17.响应文件被拒绝接收的情形</w:t>
      </w:r>
    </w:p>
    <w:p w14:paraId="4C7C6C07">
      <w:pPr>
        <w:pStyle w:val="28"/>
        <w:keepNext w:val="0"/>
        <w:keepLines w:val="0"/>
        <w:pageBreakBefore w:val="0"/>
        <w:widowControl w:val="0"/>
        <w:kinsoku/>
        <w:wordWrap/>
        <w:overflowPunct/>
        <w:topLinePunct w:val="0"/>
        <w:autoSpaceDE/>
        <w:autoSpaceDN/>
        <w:bidi w:val="0"/>
        <w:spacing w:after="0" w:line="380" w:lineRule="exact"/>
        <w:ind w:left="0"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17.1在磋商文件规定的提交响应文件截止时间后上传的电子响应文件。</w:t>
      </w:r>
    </w:p>
    <w:p w14:paraId="19D8147D">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18.响应文件的修改和撤回</w:t>
      </w:r>
    </w:p>
    <w:p w14:paraId="68337B43">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18.1磋商供应商在提交响应文件后，可以修改或撤回其响应文件，但这种修改和撤回，必须在规定的磋商开始时间前。具体操作方法见《操作手册》。</w:t>
      </w:r>
    </w:p>
    <w:p w14:paraId="527ED752">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18.2供应商可在投标截止时间前，对其电子投标文件进行修改，具体操作方法见《操作手册》。在投标截止时间至招标文件中规定的投标有效期满之间的这段时间内，供应商不得撤回其投标。</w:t>
      </w:r>
    </w:p>
    <w:p w14:paraId="12EC68DA">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18.3供应商不得在投标截止时间以后修改响应文件。</w:t>
      </w:r>
    </w:p>
    <w:p w14:paraId="7A1397A2">
      <w:pPr>
        <w:keepNext w:val="0"/>
        <w:keepLines w:val="0"/>
        <w:pageBreakBefore w:val="0"/>
        <w:widowControl w:val="0"/>
        <w:kinsoku/>
        <w:wordWrap/>
        <w:overflowPunct/>
        <w:topLinePunct w:val="0"/>
        <w:autoSpaceDE/>
        <w:autoSpaceDN/>
        <w:bidi w:val="0"/>
        <w:spacing w:line="380" w:lineRule="exact"/>
        <w:ind w:firstLine="480"/>
        <w:jc w:val="left"/>
        <w:textAlignment w:val="auto"/>
        <w:outlineLvl w:val="1"/>
        <w:rPr>
          <w:rFonts w:hint="eastAsia" w:ascii="方正仿宋_GB2312" w:hAnsi="方正仿宋_GB2312" w:eastAsia="方正仿宋_GB2312" w:cs="方正仿宋_GB2312"/>
          <w:b/>
          <w:bCs w:val="0"/>
          <w:color w:val="auto"/>
          <w:sz w:val="24"/>
          <w:szCs w:val="24"/>
          <w:highlight w:val="none"/>
        </w:rPr>
      </w:pPr>
      <w:r>
        <w:rPr>
          <w:rFonts w:hint="eastAsia" w:ascii="方正仿宋_GB2312" w:hAnsi="方正仿宋_GB2312" w:eastAsia="方正仿宋_GB2312" w:cs="方正仿宋_GB2312"/>
          <w:b/>
          <w:bCs w:val="0"/>
          <w:color w:val="auto"/>
          <w:sz w:val="24"/>
          <w:szCs w:val="24"/>
          <w:highlight w:val="none"/>
        </w:rPr>
        <w:t>五、磋商与评审</w:t>
      </w:r>
    </w:p>
    <w:p w14:paraId="3528D13E">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19.磋商组织</w:t>
      </w:r>
    </w:p>
    <w:p w14:paraId="543E8104">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w:t>
      </w:r>
      <w:r>
        <w:rPr>
          <w:rFonts w:hint="eastAsia" w:ascii="方正仿宋_GB2312" w:hAnsi="方正仿宋_GB2312" w:eastAsia="方正仿宋_GB2312" w:cs="方正仿宋_GB2312"/>
          <w:bCs/>
          <w:color w:val="auto"/>
          <w:sz w:val="24"/>
          <w:szCs w:val="24"/>
          <w:highlight w:val="none"/>
          <w:lang w:val="en-US" w:eastAsia="zh-CN"/>
        </w:rPr>
        <w:t>9</w:t>
      </w:r>
      <w:r>
        <w:rPr>
          <w:rFonts w:hint="eastAsia" w:ascii="方正仿宋_GB2312" w:hAnsi="方正仿宋_GB2312" w:eastAsia="方正仿宋_GB2312" w:cs="方正仿宋_GB2312"/>
          <w:bCs/>
          <w:color w:val="auto"/>
          <w:sz w:val="24"/>
          <w:szCs w:val="24"/>
          <w:highlight w:val="none"/>
        </w:rPr>
        <w:t>.1本项目采用“全流程电子化交易”模式，通过“苏采云政府采购一体化平台”及相应的配套硬件设备（摄像头、话筒、麦克风等）完成远程解密、公布报价、澄清等交互环节。采购人或代理机构将按照1</w:t>
      </w:r>
      <w:r>
        <w:rPr>
          <w:rFonts w:hint="eastAsia" w:ascii="方正仿宋_GB2312" w:hAnsi="方正仿宋_GB2312" w:eastAsia="方正仿宋_GB2312" w:cs="方正仿宋_GB2312"/>
          <w:bCs/>
          <w:color w:val="auto"/>
          <w:sz w:val="24"/>
          <w:szCs w:val="24"/>
          <w:highlight w:val="none"/>
          <w:lang w:val="en-US" w:eastAsia="zh-CN"/>
        </w:rPr>
        <w:t>9</w:t>
      </w:r>
      <w:r>
        <w:rPr>
          <w:rFonts w:hint="eastAsia" w:ascii="方正仿宋_GB2312" w:hAnsi="方正仿宋_GB2312" w:eastAsia="方正仿宋_GB2312" w:cs="方正仿宋_GB2312"/>
          <w:bCs/>
          <w:color w:val="auto"/>
          <w:sz w:val="24"/>
          <w:szCs w:val="24"/>
          <w:highlight w:val="none"/>
        </w:rPr>
        <w:t>.3的要求组织本项目的“不见面交易”活动。供应商仅需在任意地点登录“苏采云”系统，进入江苏省政府采购一体化不见面开标（采购）大厅观看项目的活动组织。</w:t>
      </w:r>
    </w:p>
    <w:p w14:paraId="31C3B8E1">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w:t>
      </w:r>
      <w:r>
        <w:rPr>
          <w:rFonts w:hint="eastAsia" w:ascii="方正仿宋_GB2312" w:hAnsi="方正仿宋_GB2312" w:eastAsia="方正仿宋_GB2312" w:cs="方正仿宋_GB2312"/>
          <w:bCs/>
          <w:color w:val="auto"/>
          <w:sz w:val="24"/>
          <w:szCs w:val="24"/>
          <w:highlight w:val="none"/>
          <w:lang w:val="en-US" w:eastAsia="zh-CN"/>
        </w:rPr>
        <w:t>9</w:t>
      </w:r>
      <w:r>
        <w:rPr>
          <w:rFonts w:hint="eastAsia" w:ascii="方正仿宋_GB2312" w:hAnsi="方正仿宋_GB2312" w:eastAsia="方正仿宋_GB2312" w:cs="方正仿宋_GB2312"/>
          <w:bCs/>
          <w:color w:val="auto"/>
          <w:sz w:val="24"/>
          <w:szCs w:val="24"/>
          <w:highlight w:val="none"/>
        </w:rPr>
        <w:t>.2 不见面磋商程序</w:t>
      </w:r>
      <w:r>
        <w:rPr>
          <w:rFonts w:hint="eastAsia" w:ascii="方正仿宋_GB2312" w:hAnsi="方正仿宋_GB2312" w:eastAsia="方正仿宋_GB2312" w:cs="方正仿宋_GB2312"/>
          <w:bCs/>
          <w:color w:val="auto"/>
          <w:sz w:val="24"/>
          <w:szCs w:val="24"/>
          <w:highlight w:val="none"/>
          <w:lang w:eastAsia="zh-CN"/>
        </w:rPr>
        <w:t>：</w:t>
      </w:r>
      <w:r>
        <w:rPr>
          <w:rFonts w:hint="eastAsia" w:ascii="方正仿宋_GB2312" w:hAnsi="方正仿宋_GB2312" w:eastAsia="方正仿宋_GB2312" w:cs="方正仿宋_GB2312"/>
          <w:bCs/>
          <w:color w:val="auto"/>
          <w:sz w:val="24"/>
          <w:szCs w:val="24"/>
          <w:highlight w:val="none"/>
        </w:rPr>
        <w:t>主持人按下列程序组织磋商。</w:t>
      </w:r>
    </w:p>
    <w:p w14:paraId="60CB806B">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w:t>
      </w:r>
      <w:r>
        <w:rPr>
          <w:rFonts w:hint="eastAsia" w:ascii="方正仿宋_GB2312" w:hAnsi="方正仿宋_GB2312" w:eastAsia="方正仿宋_GB2312" w:cs="方正仿宋_GB2312"/>
          <w:bCs/>
          <w:color w:val="auto"/>
          <w:sz w:val="24"/>
          <w:szCs w:val="24"/>
          <w:highlight w:val="none"/>
          <w:lang w:val="en-US" w:eastAsia="zh-CN"/>
        </w:rPr>
        <w:t>9</w:t>
      </w:r>
      <w:r>
        <w:rPr>
          <w:rFonts w:hint="eastAsia" w:ascii="方正仿宋_GB2312" w:hAnsi="方正仿宋_GB2312" w:eastAsia="方正仿宋_GB2312" w:cs="方正仿宋_GB2312"/>
          <w:bCs/>
          <w:color w:val="auto"/>
          <w:sz w:val="24"/>
          <w:szCs w:val="24"/>
          <w:highlight w:val="none"/>
        </w:rPr>
        <w:t>.2.1 代理机构将在采购公告中规定的时间和地点组织磋商开始仪式。供应商应当按照《操作手册》规定，参加磋商活动。</w:t>
      </w:r>
    </w:p>
    <w:p w14:paraId="46EC7019">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w:t>
      </w:r>
      <w:r>
        <w:rPr>
          <w:rFonts w:hint="eastAsia" w:ascii="方正仿宋_GB2312" w:hAnsi="方正仿宋_GB2312" w:eastAsia="方正仿宋_GB2312" w:cs="方正仿宋_GB2312"/>
          <w:bCs/>
          <w:color w:val="auto"/>
          <w:sz w:val="24"/>
          <w:szCs w:val="24"/>
          <w:highlight w:val="none"/>
          <w:lang w:val="en-US" w:eastAsia="zh-CN"/>
        </w:rPr>
        <w:t>9</w:t>
      </w:r>
      <w:r>
        <w:rPr>
          <w:rFonts w:hint="eastAsia" w:ascii="方正仿宋_GB2312" w:hAnsi="方正仿宋_GB2312" w:eastAsia="方正仿宋_GB2312" w:cs="方正仿宋_GB2312"/>
          <w:bCs/>
          <w:color w:val="auto"/>
          <w:sz w:val="24"/>
          <w:szCs w:val="24"/>
          <w:highlight w:val="none"/>
        </w:rPr>
        <w:t>.2.2供应商在磋商过程中</w:t>
      </w:r>
      <w:r>
        <w:rPr>
          <w:rFonts w:hint="eastAsia" w:ascii="方正仿宋_GB2312" w:hAnsi="方正仿宋_GB2312" w:eastAsia="方正仿宋_GB2312" w:cs="方正仿宋_GB2312"/>
          <w:bCs/>
          <w:color w:val="auto"/>
          <w:sz w:val="24"/>
          <w:szCs w:val="24"/>
          <w:highlight w:val="none"/>
          <w:lang w:eastAsia="zh-CN"/>
        </w:rPr>
        <w:t>涉及</w:t>
      </w:r>
      <w:r>
        <w:rPr>
          <w:rFonts w:hint="eastAsia" w:ascii="方正仿宋_GB2312" w:hAnsi="方正仿宋_GB2312" w:eastAsia="方正仿宋_GB2312" w:cs="方正仿宋_GB2312"/>
          <w:bCs/>
          <w:color w:val="auto"/>
          <w:sz w:val="24"/>
          <w:szCs w:val="24"/>
          <w:highlight w:val="none"/>
        </w:rPr>
        <w:t>的响应文件解密等工作，应按照《操作手册》规定执行。</w:t>
      </w:r>
    </w:p>
    <w:p w14:paraId="57C5989C">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w:t>
      </w:r>
      <w:r>
        <w:rPr>
          <w:rFonts w:hint="eastAsia" w:ascii="方正仿宋_GB2312" w:hAnsi="方正仿宋_GB2312" w:eastAsia="方正仿宋_GB2312" w:cs="方正仿宋_GB2312"/>
          <w:bCs/>
          <w:color w:val="auto"/>
          <w:sz w:val="24"/>
          <w:szCs w:val="24"/>
          <w:highlight w:val="none"/>
          <w:lang w:val="en-US" w:eastAsia="zh-CN"/>
        </w:rPr>
        <w:t>9</w:t>
      </w:r>
      <w:r>
        <w:rPr>
          <w:rFonts w:hint="eastAsia" w:ascii="方正仿宋_GB2312" w:hAnsi="方正仿宋_GB2312" w:eastAsia="方正仿宋_GB2312" w:cs="方正仿宋_GB2312"/>
          <w:bCs/>
          <w:color w:val="auto"/>
          <w:sz w:val="24"/>
          <w:szCs w:val="24"/>
          <w:highlight w:val="none"/>
        </w:rPr>
        <w:t>.2.3报价一览表内容与报价明细表内容不一致的，一律以报价一览表内容为准。</w:t>
      </w:r>
    </w:p>
    <w:p w14:paraId="6F166C86">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w:t>
      </w:r>
      <w:r>
        <w:rPr>
          <w:rFonts w:hint="eastAsia" w:ascii="方正仿宋_GB2312" w:hAnsi="方正仿宋_GB2312" w:eastAsia="方正仿宋_GB2312" w:cs="方正仿宋_GB2312"/>
          <w:bCs/>
          <w:color w:val="auto"/>
          <w:sz w:val="24"/>
          <w:szCs w:val="24"/>
          <w:highlight w:val="none"/>
          <w:lang w:val="en-US" w:eastAsia="zh-CN"/>
        </w:rPr>
        <w:t>9</w:t>
      </w:r>
      <w:r>
        <w:rPr>
          <w:rFonts w:hint="eastAsia" w:ascii="方正仿宋_GB2312" w:hAnsi="方正仿宋_GB2312" w:eastAsia="方正仿宋_GB2312" w:cs="方正仿宋_GB2312"/>
          <w:bCs/>
          <w:color w:val="auto"/>
          <w:sz w:val="24"/>
          <w:szCs w:val="24"/>
          <w:highlight w:val="none"/>
        </w:rPr>
        <w:t>.2.4响应文件提交截止时间结束后参加征集的供应商不足三家情况的，除采购任务取消情形外，按财政部令第74号第二十七条条款进行处理。</w:t>
      </w:r>
    </w:p>
    <w:p w14:paraId="34CA272F">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w:t>
      </w:r>
      <w:r>
        <w:rPr>
          <w:rFonts w:hint="eastAsia" w:ascii="方正仿宋_GB2312" w:hAnsi="方正仿宋_GB2312" w:eastAsia="方正仿宋_GB2312" w:cs="方正仿宋_GB2312"/>
          <w:bCs/>
          <w:color w:val="auto"/>
          <w:sz w:val="24"/>
          <w:szCs w:val="24"/>
          <w:highlight w:val="none"/>
          <w:lang w:val="en-US" w:eastAsia="zh-CN"/>
        </w:rPr>
        <w:t>9</w:t>
      </w:r>
      <w:r>
        <w:rPr>
          <w:rFonts w:hint="eastAsia" w:ascii="方正仿宋_GB2312" w:hAnsi="方正仿宋_GB2312" w:eastAsia="方正仿宋_GB2312" w:cs="方正仿宋_GB2312"/>
          <w:bCs/>
          <w:color w:val="auto"/>
          <w:sz w:val="24"/>
          <w:szCs w:val="24"/>
          <w:highlight w:val="none"/>
        </w:rPr>
        <w:t>.3全流程电子化交易采购说明</w:t>
      </w:r>
    </w:p>
    <w:p w14:paraId="11A7D73C">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w:t>
      </w:r>
      <w:r>
        <w:rPr>
          <w:rFonts w:hint="eastAsia" w:ascii="方正仿宋_GB2312" w:hAnsi="方正仿宋_GB2312" w:eastAsia="方正仿宋_GB2312" w:cs="方正仿宋_GB2312"/>
          <w:bCs/>
          <w:color w:val="auto"/>
          <w:sz w:val="24"/>
          <w:szCs w:val="24"/>
          <w:highlight w:val="none"/>
          <w:lang w:val="en-US" w:eastAsia="zh-CN"/>
        </w:rPr>
        <w:t>9</w:t>
      </w:r>
      <w:r>
        <w:rPr>
          <w:rFonts w:hint="eastAsia" w:ascii="方正仿宋_GB2312" w:hAnsi="方正仿宋_GB2312" w:eastAsia="方正仿宋_GB2312" w:cs="方正仿宋_GB2312"/>
          <w:bCs/>
          <w:color w:val="auto"/>
          <w:sz w:val="24"/>
          <w:szCs w:val="24"/>
          <w:highlight w:val="none"/>
        </w:rPr>
        <w:t>.3.1由于“苏采云政府采购一体化平台”自身原因导致项目不能正常进行的，项目作废标处理。</w:t>
      </w:r>
    </w:p>
    <w:p w14:paraId="2FEC462A">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w:t>
      </w:r>
      <w:r>
        <w:rPr>
          <w:rFonts w:hint="eastAsia" w:ascii="方正仿宋_GB2312" w:hAnsi="方正仿宋_GB2312" w:eastAsia="方正仿宋_GB2312" w:cs="方正仿宋_GB2312"/>
          <w:bCs/>
          <w:color w:val="auto"/>
          <w:sz w:val="24"/>
          <w:szCs w:val="24"/>
          <w:highlight w:val="none"/>
          <w:lang w:val="en-US" w:eastAsia="zh-CN"/>
        </w:rPr>
        <w:t>9</w:t>
      </w:r>
      <w:r>
        <w:rPr>
          <w:rFonts w:hint="eastAsia" w:ascii="方正仿宋_GB2312" w:hAnsi="方正仿宋_GB2312" w:eastAsia="方正仿宋_GB2312" w:cs="方正仿宋_GB2312"/>
          <w:bCs/>
          <w:color w:val="auto"/>
          <w:sz w:val="24"/>
          <w:szCs w:val="24"/>
          <w:highlight w:val="none"/>
        </w:rPr>
        <w:t>.3.2本项目中的时间均以国家授时中心发布的时间为准。</w:t>
      </w:r>
    </w:p>
    <w:p w14:paraId="44A8AB21">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w:t>
      </w:r>
      <w:r>
        <w:rPr>
          <w:rFonts w:hint="eastAsia" w:ascii="方正仿宋_GB2312" w:hAnsi="方正仿宋_GB2312" w:eastAsia="方正仿宋_GB2312" w:cs="方正仿宋_GB2312"/>
          <w:bCs/>
          <w:color w:val="auto"/>
          <w:sz w:val="24"/>
          <w:szCs w:val="24"/>
          <w:highlight w:val="none"/>
          <w:lang w:val="en-US" w:eastAsia="zh-CN"/>
        </w:rPr>
        <w:t>9</w:t>
      </w:r>
      <w:r>
        <w:rPr>
          <w:rFonts w:hint="eastAsia" w:ascii="方正仿宋_GB2312" w:hAnsi="方正仿宋_GB2312" w:eastAsia="方正仿宋_GB2312" w:cs="方正仿宋_GB2312"/>
          <w:bCs/>
          <w:color w:val="auto"/>
          <w:sz w:val="24"/>
          <w:szCs w:val="24"/>
          <w:highlight w:val="none"/>
        </w:rPr>
        <w:t>.3.3本项目下载磋商文件、上传响应文件均通过互联网操作，请供应商充分考虑网络拥堵及平台操作所需时间等因素。因供应商自身原因导致操作失败的，其责任自负。</w:t>
      </w:r>
    </w:p>
    <w:p w14:paraId="678A52EC">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w:t>
      </w:r>
      <w:r>
        <w:rPr>
          <w:rFonts w:hint="eastAsia" w:ascii="方正仿宋_GB2312" w:hAnsi="方正仿宋_GB2312" w:eastAsia="方正仿宋_GB2312" w:cs="方正仿宋_GB2312"/>
          <w:bCs/>
          <w:color w:val="auto"/>
          <w:sz w:val="24"/>
          <w:szCs w:val="24"/>
          <w:highlight w:val="none"/>
          <w:lang w:val="en-US" w:eastAsia="zh-CN"/>
        </w:rPr>
        <w:t>9</w:t>
      </w:r>
      <w:r>
        <w:rPr>
          <w:rFonts w:hint="eastAsia" w:ascii="方正仿宋_GB2312" w:hAnsi="方正仿宋_GB2312" w:eastAsia="方正仿宋_GB2312" w:cs="方正仿宋_GB2312"/>
          <w:bCs/>
          <w:color w:val="auto"/>
          <w:sz w:val="24"/>
          <w:szCs w:val="24"/>
          <w:highlight w:val="none"/>
        </w:rPr>
        <w:t>.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p>
    <w:p w14:paraId="3F199B10">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w:t>
      </w:r>
      <w:r>
        <w:rPr>
          <w:rFonts w:hint="eastAsia" w:ascii="方正仿宋_GB2312" w:hAnsi="方正仿宋_GB2312" w:eastAsia="方正仿宋_GB2312" w:cs="方正仿宋_GB2312"/>
          <w:bCs/>
          <w:color w:val="auto"/>
          <w:sz w:val="24"/>
          <w:szCs w:val="24"/>
          <w:highlight w:val="none"/>
          <w:lang w:val="en-US" w:eastAsia="zh-CN"/>
        </w:rPr>
        <w:t>9</w:t>
      </w:r>
      <w:r>
        <w:rPr>
          <w:rFonts w:hint="eastAsia" w:ascii="方正仿宋_GB2312" w:hAnsi="方正仿宋_GB2312" w:eastAsia="方正仿宋_GB2312" w:cs="方正仿宋_GB2312"/>
          <w:bCs/>
          <w:color w:val="auto"/>
          <w:sz w:val="24"/>
          <w:szCs w:val="24"/>
          <w:highlight w:val="none"/>
        </w:rPr>
        <w:t>.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p>
    <w:p w14:paraId="24732DD4">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w:t>
      </w:r>
      <w:r>
        <w:rPr>
          <w:rFonts w:hint="eastAsia" w:ascii="方正仿宋_GB2312" w:hAnsi="方正仿宋_GB2312" w:eastAsia="方正仿宋_GB2312" w:cs="方正仿宋_GB2312"/>
          <w:bCs/>
          <w:color w:val="auto"/>
          <w:sz w:val="24"/>
          <w:szCs w:val="24"/>
          <w:highlight w:val="none"/>
          <w:lang w:val="en-US" w:eastAsia="zh-CN"/>
        </w:rPr>
        <w:t>9</w:t>
      </w:r>
      <w:r>
        <w:rPr>
          <w:rFonts w:hint="eastAsia" w:ascii="方正仿宋_GB2312" w:hAnsi="方正仿宋_GB2312" w:eastAsia="方正仿宋_GB2312" w:cs="方正仿宋_GB2312"/>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p>
    <w:p w14:paraId="024ADCF8">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w:t>
      </w:r>
      <w:r>
        <w:rPr>
          <w:rFonts w:hint="eastAsia" w:ascii="方正仿宋_GB2312" w:hAnsi="方正仿宋_GB2312" w:eastAsia="方正仿宋_GB2312" w:cs="方正仿宋_GB2312"/>
          <w:bCs/>
          <w:color w:val="auto"/>
          <w:sz w:val="24"/>
          <w:szCs w:val="24"/>
          <w:highlight w:val="none"/>
          <w:lang w:val="en-US" w:eastAsia="zh-CN"/>
        </w:rPr>
        <w:t>9</w:t>
      </w:r>
      <w:r>
        <w:rPr>
          <w:rFonts w:hint="eastAsia" w:ascii="方正仿宋_GB2312" w:hAnsi="方正仿宋_GB2312" w:eastAsia="方正仿宋_GB2312" w:cs="方正仿宋_GB2312"/>
          <w:bCs/>
          <w:color w:val="auto"/>
          <w:sz w:val="24"/>
          <w:szCs w:val="24"/>
          <w:highlight w:val="none"/>
        </w:rPr>
        <w:t>.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方正仿宋_GB2312" w:hAnsi="方正仿宋_GB2312" w:eastAsia="方正仿宋_GB2312" w:cs="方正仿宋_GB2312"/>
          <w:bCs/>
          <w:color w:val="auto"/>
          <w:sz w:val="24"/>
          <w:szCs w:val="24"/>
          <w:highlight w:val="none"/>
          <w:lang w:eastAsia="zh-CN"/>
        </w:rPr>
        <w:t>不在要求</w:t>
      </w:r>
      <w:r>
        <w:rPr>
          <w:rFonts w:hint="eastAsia" w:ascii="方正仿宋_GB2312" w:hAnsi="方正仿宋_GB2312" w:eastAsia="方正仿宋_GB2312" w:cs="方正仿宋_GB2312"/>
          <w:bCs/>
          <w:color w:val="auto"/>
          <w:sz w:val="24"/>
          <w:szCs w:val="24"/>
          <w:highlight w:val="none"/>
        </w:rPr>
        <w:t>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投标人解密成功，即视为“苏采云政府采购一体化平台”运行无故障。</w:t>
      </w:r>
    </w:p>
    <w:p w14:paraId="121A52E1">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w:t>
      </w:r>
      <w:r>
        <w:rPr>
          <w:rFonts w:hint="eastAsia" w:ascii="方正仿宋_GB2312" w:hAnsi="方正仿宋_GB2312" w:eastAsia="方正仿宋_GB2312" w:cs="方正仿宋_GB2312"/>
          <w:bCs/>
          <w:color w:val="auto"/>
          <w:sz w:val="24"/>
          <w:szCs w:val="24"/>
          <w:highlight w:val="none"/>
          <w:lang w:val="en-US" w:eastAsia="zh-CN"/>
        </w:rPr>
        <w:t>9</w:t>
      </w:r>
      <w:r>
        <w:rPr>
          <w:rFonts w:hint="eastAsia" w:ascii="方正仿宋_GB2312" w:hAnsi="方正仿宋_GB2312" w:eastAsia="方正仿宋_GB2312" w:cs="方正仿宋_GB2312"/>
          <w:bCs/>
          <w:color w:val="auto"/>
          <w:sz w:val="24"/>
          <w:szCs w:val="24"/>
          <w:highlight w:val="none"/>
        </w:rPr>
        <w:t>.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14:paraId="3C8998A0">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w:t>
      </w:r>
      <w:r>
        <w:rPr>
          <w:rFonts w:hint="eastAsia" w:ascii="方正仿宋_GB2312" w:hAnsi="方正仿宋_GB2312" w:eastAsia="方正仿宋_GB2312" w:cs="方正仿宋_GB2312"/>
          <w:bCs/>
          <w:color w:val="auto"/>
          <w:sz w:val="24"/>
          <w:szCs w:val="24"/>
          <w:highlight w:val="none"/>
          <w:lang w:val="en-US" w:eastAsia="zh-CN"/>
        </w:rPr>
        <w:t>9</w:t>
      </w:r>
      <w:r>
        <w:rPr>
          <w:rFonts w:hint="eastAsia" w:ascii="方正仿宋_GB2312" w:hAnsi="方正仿宋_GB2312" w:eastAsia="方正仿宋_GB2312" w:cs="方正仿宋_GB2312"/>
          <w:bCs/>
          <w:color w:val="auto"/>
          <w:sz w:val="24"/>
          <w:szCs w:val="24"/>
          <w:highlight w:val="none"/>
        </w:rPr>
        <w:t>.3.9为顺利实现本项目交易活动组织的远程交互，建议供应商配置相关软硬件设施，具体包括</w:t>
      </w:r>
      <w:r>
        <w:rPr>
          <w:rFonts w:hint="eastAsia" w:ascii="方正仿宋_GB2312" w:hAnsi="方正仿宋_GB2312" w:eastAsia="方正仿宋_GB2312" w:cs="方正仿宋_GB2312"/>
          <w:bCs/>
          <w:color w:val="auto"/>
          <w:sz w:val="24"/>
          <w:szCs w:val="24"/>
          <w:highlight w:val="none"/>
          <w:lang w:eastAsia="zh-CN"/>
        </w:rPr>
        <w:t>：</w:t>
      </w:r>
    </w:p>
    <w:p w14:paraId="71579F3F">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w:t>
      </w:r>
      <w:r>
        <w:rPr>
          <w:rFonts w:hint="eastAsia" w:ascii="方正仿宋_GB2312" w:hAnsi="方正仿宋_GB2312" w:eastAsia="方正仿宋_GB2312" w:cs="方正仿宋_GB2312"/>
          <w:bCs/>
          <w:color w:val="auto"/>
          <w:sz w:val="24"/>
          <w:szCs w:val="24"/>
          <w:highlight w:val="none"/>
          <w:lang w:val="en-US" w:eastAsia="zh-CN"/>
        </w:rPr>
        <w:t>9</w:t>
      </w:r>
      <w:r>
        <w:rPr>
          <w:rFonts w:hint="eastAsia" w:ascii="方正仿宋_GB2312" w:hAnsi="方正仿宋_GB2312" w:eastAsia="方正仿宋_GB2312" w:cs="方正仿宋_GB2312"/>
          <w:bCs/>
          <w:color w:val="auto"/>
          <w:sz w:val="24"/>
          <w:szCs w:val="24"/>
          <w:highlight w:val="none"/>
        </w:rPr>
        <w:t>.3.9.1软件设施</w:t>
      </w:r>
      <w:r>
        <w:rPr>
          <w:rFonts w:hint="eastAsia" w:ascii="方正仿宋_GB2312" w:hAnsi="方正仿宋_GB2312" w:eastAsia="方正仿宋_GB2312" w:cs="方正仿宋_GB2312"/>
          <w:bCs/>
          <w:color w:val="auto"/>
          <w:sz w:val="24"/>
          <w:szCs w:val="24"/>
          <w:highlight w:val="none"/>
          <w:lang w:eastAsia="zh-CN"/>
        </w:rPr>
        <w:t>：</w:t>
      </w:r>
      <w:r>
        <w:rPr>
          <w:rFonts w:hint="eastAsia" w:ascii="方正仿宋_GB2312" w:hAnsi="方正仿宋_GB2312" w:eastAsia="方正仿宋_GB2312" w:cs="方正仿宋_GB2312"/>
          <w:bCs/>
          <w:color w:val="auto"/>
          <w:sz w:val="24"/>
          <w:szCs w:val="24"/>
          <w:highlight w:val="none"/>
        </w:rPr>
        <w:t xml:space="preserve">谷歌浏览器或360安全浏览器，同时必须安装“苏采云政府采购一体化平台”客户端所要求的驱动。 </w:t>
      </w:r>
    </w:p>
    <w:p w14:paraId="2881706F">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w:t>
      </w:r>
      <w:r>
        <w:rPr>
          <w:rFonts w:hint="eastAsia" w:ascii="方正仿宋_GB2312" w:hAnsi="方正仿宋_GB2312" w:eastAsia="方正仿宋_GB2312" w:cs="方正仿宋_GB2312"/>
          <w:bCs/>
          <w:color w:val="auto"/>
          <w:sz w:val="24"/>
          <w:szCs w:val="24"/>
          <w:highlight w:val="none"/>
          <w:lang w:val="en-US" w:eastAsia="zh-CN"/>
        </w:rPr>
        <w:t>9</w:t>
      </w:r>
      <w:r>
        <w:rPr>
          <w:rFonts w:hint="eastAsia" w:ascii="方正仿宋_GB2312" w:hAnsi="方正仿宋_GB2312" w:eastAsia="方正仿宋_GB2312" w:cs="方正仿宋_GB2312"/>
          <w:bCs/>
          <w:color w:val="auto"/>
          <w:sz w:val="24"/>
          <w:szCs w:val="24"/>
          <w:highlight w:val="none"/>
        </w:rPr>
        <w:t>.3.9.2硬件设施</w:t>
      </w:r>
      <w:r>
        <w:rPr>
          <w:rFonts w:hint="eastAsia" w:ascii="方正仿宋_GB2312" w:hAnsi="方正仿宋_GB2312" w:eastAsia="方正仿宋_GB2312" w:cs="方正仿宋_GB2312"/>
          <w:bCs/>
          <w:color w:val="auto"/>
          <w:sz w:val="24"/>
          <w:szCs w:val="24"/>
          <w:highlight w:val="none"/>
          <w:lang w:eastAsia="zh-CN"/>
        </w:rPr>
        <w:t>：</w:t>
      </w:r>
      <w:r>
        <w:rPr>
          <w:rFonts w:hint="eastAsia" w:ascii="方正仿宋_GB2312" w:hAnsi="方正仿宋_GB2312" w:eastAsia="方正仿宋_GB2312" w:cs="方正仿宋_GB2312"/>
          <w:bCs/>
          <w:color w:val="auto"/>
          <w:sz w:val="24"/>
          <w:szCs w:val="24"/>
          <w:highlight w:val="none"/>
        </w:rPr>
        <w:t>高配置电脑（内存4G以上，建议屏幕分辨率用1024*768像素或以上，不要使用上网本）、高速稳定的网络、CA锁、音视频设备［话筒、耳麦、高清摄像头（支持分辨率720P及以上）、音响］等。</w:t>
      </w:r>
    </w:p>
    <w:p w14:paraId="7DEE082D">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w:t>
      </w:r>
      <w:r>
        <w:rPr>
          <w:rFonts w:hint="eastAsia" w:ascii="方正仿宋_GB2312" w:hAnsi="方正仿宋_GB2312" w:eastAsia="方正仿宋_GB2312" w:cs="方正仿宋_GB2312"/>
          <w:bCs/>
          <w:color w:val="auto"/>
          <w:sz w:val="24"/>
          <w:szCs w:val="24"/>
          <w:highlight w:val="none"/>
          <w:lang w:val="en-US" w:eastAsia="zh-CN"/>
        </w:rPr>
        <w:t>9</w:t>
      </w:r>
      <w:r>
        <w:rPr>
          <w:rFonts w:hint="eastAsia" w:ascii="方正仿宋_GB2312" w:hAnsi="方正仿宋_GB2312" w:eastAsia="方正仿宋_GB2312" w:cs="方正仿宋_GB2312"/>
          <w:bCs/>
          <w:color w:val="auto"/>
          <w:sz w:val="24"/>
          <w:szCs w:val="24"/>
          <w:highlight w:val="none"/>
        </w:rPr>
        <w:t>.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p>
    <w:p w14:paraId="69E7F162">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w:t>
      </w:r>
      <w:r>
        <w:rPr>
          <w:rFonts w:hint="eastAsia" w:ascii="方正仿宋_GB2312" w:hAnsi="方正仿宋_GB2312" w:eastAsia="方正仿宋_GB2312" w:cs="方正仿宋_GB2312"/>
          <w:bCs/>
          <w:color w:val="auto"/>
          <w:sz w:val="24"/>
          <w:szCs w:val="24"/>
          <w:highlight w:val="none"/>
          <w:lang w:val="en-US" w:eastAsia="zh-CN"/>
        </w:rPr>
        <w:t>9</w:t>
      </w:r>
      <w:r>
        <w:rPr>
          <w:rFonts w:hint="eastAsia" w:ascii="方正仿宋_GB2312" w:hAnsi="方正仿宋_GB2312" w:eastAsia="方正仿宋_GB2312" w:cs="方正仿宋_GB2312"/>
          <w:bCs/>
          <w:color w:val="auto"/>
          <w:sz w:val="24"/>
          <w:szCs w:val="24"/>
          <w:highlight w:val="none"/>
        </w:rPr>
        <w:t>.3.10供应商在制作上传电子响应文件、观看活动组织、响应文件解密等技术方面遇到问题时，请与软件公司技术人员咨询，联系电话</w:t>
      </w:r>
      <w:r>
        <w:rPr>
          <w:rFonts w:hint="eastAsia" w:ascii="方正仿宋_GB2312" w:hAnsi="方正仿宋_GB2312" w:eastAsia="方正仿宋_GB2312" w:cs="方正仿宋_GB2312"/>
          <w:bCs/>
          <w:color w:val="auto"/>
          <w:sz w:val="24"/>
          <w:szCs w:val="24"/>
          <w:highlight w:val="none"/>
          <w:lang w:eastAsia="zh-CN"/>
        </w:rPr>
        <w:t>：</w:t>
      </w:r>
      <w:r>
        <w:rPr>
          <w:rFonts w:hint="eastAsia" w:ascii="方正仿宋_GB2312" w:hAnsi="方正仿宋_GB2312" w:eastAsia="方正仿宋_GB2312" w:cs="方正仿宋_GB2312"/>
          <w:bCs/>
          <w:color w:val="auto"/>
          <w:sz w:val="24"/>
          <w:szCs w:val="24"/>
          <w:highlight w:val="none"/>
        </w:rPr>
        <w:t>0517-83638013。</w:t>
      </w:r>
    </w:p>
    <w:p w14:paraId="7C515CF4">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19.</w:t>
      </w:r>
      <w:r>
        <w:rPr>
          <w:rFonts w:hint="eastAsia" w:ascii="方正仿宋_GB2312" w:hAnsi="方正仿宋_GB2312" w:eastAsia="方正仿宋_GB2312" w:cs="方正仿宋_GB2312"/>
          <w:bCs/>
          <w:color w:val="auto"/>
          <w:sz w:val="24"/>
          <w:szCs w:val="24"/>
          <w:highlight w:val="none"/>
          <w:lang w:val="en-US" w:eastAsia="zh-CN"/>
        </w:rPr>
        <w:t>4</w:t>
      </w:r>
      <w:r>
        <w:rPr>
          <w:rFonts w:hint="eastAsia" w:ascii="方正仿宋_GB2312" w:hAnsi="方正仿宋_GB2312" w:eastAsia="方正仿宋_GB2312" w:cs="方正仿宋_GB2312"/>
          <w:color w:val="auto"/>
          <w:sz w:val="24"/>
          <w:szCs w:val="24"/>
          <w:highlight w:val="none"/>
          <w:lang w:val="zh-CN"/>
        </w:rPr>
        <w:t>磋商工作由</w:t>
      </w:r>
      <w:r>
        <w:rPr>
          <w:rFonts w:hint="eastAsia" w:ascii="方正仿宋_GB2312" w:hAnsi="方正仿宋_GB2312" w:eastAsia="方正仿宋_GB2312" w:cs="方正仿宋_GB2312"/>
          <w:color w:val="auto"/>
          <w:sz w:val="24"/>
          <w:szCs w:val="24"/>
          <w:highlight w:val="none"/>
        </w:rPr>
        <w:t>采购人（代理机构）</w:t>
      </w:r>
      <w:r>
        <w:rPr>
          <w:rFonts w:hint="eastAsia" w:ascii="方正仿宋_GB2312" w:hAnsi="方正仿宋_GB2312" w:eastAsia="方正仿宋_GB2312" w:cs="方正仿宋_GB2312"/>
          <w:color w:val="auto"/>
          <w:sz w:val="24"/>
          <w:szCs w:val="24"/>
          <w:highlight w:val="none"/>
          <w:lang w:val="zh-CN"/>
        </w:rPr>
        <w:t>负责组织，具体磋商事务由依法组建的磋商小组负责。</w:t>
      </w:r>
    </w:p>
    <w:p w14:paraId="7108F9CC">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19.</w:t>
      </w:r>
      <w:r>
        <w:rPr>
          <w:rFonts w:hint="eastAsia" w:ascii="方正仿宋_GB2312" w:hAnsi="方正仿宋_GB2312" w:eastAsia="方正仿宋_GB2312" w:cs="方正仿宋_GB2312"/>
          <w:bCs/>
          <w:color w:val="auto"/>
          <w:sz w:val="24"/>
          <w:szCs w:val="24"/>
          <w:highlight w:val="none"/>
          <w:lang w:val="en-US" w:eastAsia="zh-CN"/>
        </w:rPr>
        <w:t>4</w:t>
      </w:r>
      <w:r>
        <w:rPr>
          <w:rFonts w:hint="eastAsia" w:ascii="方正仿宋_GB2312" w:hAnsi="方正仿宋_GB2312" w:eastAsia="方正仿宋_GB2312" w:cs="方正仿宋_GB2312"/>
          <w:bCs/>
          <w:color w:val="auto"/>
          <w:sz w:val="24"/>
          <w:szCs w:val="24"/>
          <w:highlight w:val="none"/>
        </w:rPr>
        <w:t>.1磋商小组由采购人代表和评审专家共3人以上单数组成。</w:t>
      </w:r>
    </w:p>
    <w:p w14:paraId="2DBC7ED6">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19.</w:t>
      </w:r>
      <w:r>
        <w:rPr>
          <w:rFonts w:hint="eastAsia" w:ascii="方正仿宋_GB2312" w:hAnsi="方正仿宋_GB2312" w:eastAsia="方正仿宋_GB2312" w:cs="方正仿宋_GB2312"/>
          <w:bCs/>
          <w:color w:val="auto"/>
          <w:sz w:val="24"/>
          <w:szCs w:val="24"/>
          <w:highlight w:val="none"/>
          <w:lang w:val="en-US" w:eastAsia="zh-CN"/>
        </w:rPr>
        <w:t>4</w:t>
      </w:r>
      <w:r>
        <w:rPr>
          <w:rFonts w:hint="eastAsia" w:ascii="方正仿宋_GB2312" w:hAnsi="方正仿宋_GB2312" w:eastAsia="方正仿宋_GB2312" w:cs="方正仿宋_GB2312"/>
          <w:bCs/>
          <w:color w:val="auto"/>
          <w:sz w:val="24"/>
          <w:szCs w:val="24"/>
          <w:highlight w:val="none"/>
        </w:rPr>
        <w:t>.2磋商小组应以科学、公正的态度参加评审工作并推荐成交候选人。磋商小组在评审过程中不受任何干扰，独立、负责地提出评审意见，并对自己的评审意见承担责任。</w:t>
      </w:r>
    </w:p>
    <w:p w14:paraId="16FAF1AD">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19.</w:t>
      </w:r>
      <w:r>
        <w:rPr>
          <w:rFonts w:hint="eastAsia" w:ascii="方正仿宋_GB2312" w:hAnsi="方正仿宋_GB2312" w:eastAsia="方正仿宋_GB2312" w:cs="方正仿宋_GB2312"/>
          <w:bCs/>
          <w:color w:val="auto"/>
          <w:sz w:val="24"/>
          <w:szCs w:val="24"/>
          <w:highlight w:val="none"/>
          <w:lang w:val="en-US" w:eastAsia="zh-CN"/>
        </w:rPr>
        <w:t>4</w:t>
      </w:r>
      <w:r>
        <w:rPr>
          <w:rFonts w:hint="eastAsia" w:ascii="方正仿宋_GB2312" w:hAnsi="方正仿宋_GB2312" w:eastAsia="方正仿宋_GB2312" w:cs="方正仿宋_GB2312"/>
          <w:bCs/>
          <w:color w:val="auto"/>
          <w:sz w:val="24"/>
          <w:szCs w:val="24"/>
          <w:highlight w:val="none"/>
        </w:rPr>
        <w:t>.3</w:t>
      </w:r>
      <w:r>
        <w:rPr>
          <w:rFonts w:hint="eastAsia" w:ascii="方正仿宋_GB2312" w:hAnsi="方正仿宋_GB2312" w:eastAsia="方正仿宋_GB2312" w:cs="方正仿宋_GB2312"/>
          <w:color w:val="auto"/>
          <w:sz w:val="24"/>
          <w:szCs w:val="24"/>
          <w:highlight w:val="none"/>
        </w:rPr>
        <w:t>磋商小组应对供应商的商业、技术秘密予以保密。</w:t>
      </w:r>
    </w:p>
    <w:p w14:paraId="615C89C0">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20.磋商程序</w:t>
      </w:r>
    </w:p>
    <w:p w14:paraId="3FF160AD">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20.1响应文件的资格审查</w:t>
      </w:r>
    </w:p>
    <w:p w14:paraId="53E42603">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20.1.1磋商小组依法对供应商的资格进行审查。</w:t>
      </w:r>
    </w:p>
    <w:p w14:paraId="1C696888">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20</w:t>
      </w:r>
      <w:r>
        <w:rPr>
          <w:rFonts w:hint="eastAsia" w:ascii="方正仿宋_GB2312" w:hAnsi="方正仿宋_GB2312" w:eastAsia="方正仿宋_GB2312" w:cs="方正仿宋_GB2312"/>
          <w:color w:val="auto"/>
          <w:sz w:val="24"/>
          <w:szCs w:val="24"/>
          <w:highlight w:val="none"/>
          <w:lang w:val="zh-CN"/>
        </w:rPr>
        <w:t>.1.1.1资格性审查：依据法律法规和磋商文件的规定，对响应文件中的资格证明文件等进行审查，以确定供应商是否具备磋商资格。</w:t>
      </w:r>
    </w:p>
    <w:p w14:paraId="549F36BD">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20</w:t>
      </w:r>
      <w:r>
        <w:rPr>
          <w:rFonts w:hint="eastAsia" w:ascii="方正仿宋_GB2312" w:hAnsi="方正仿宋_GB2312" w:eastAsia="方正仿宋_GB2312" w:cs="方正仿宋_GB2312"/>
          <w:color w:val="auto"/>
          <w:sz w:val="24"/>
          <w:szCs w:val="24"/>
          <w:highlight w:val="none"/>
          <w:lang w:val="zh-CN"/>
        </w:rPr>
        <w:t>.1.1.2在进行资格性审查的同时，将在“信用中国”网站（</w:t>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HYPERLINK "http://www.creditchina.gov.cn" </w:instrText>
      </w:r>
      <w:r>
        <w:rPr>
          <w:rFonts w:hint="eastAsia" w:ascii="方正仿宋_GB2312" w:hAnsi="方正仿宋_GB2312" w:eastAsia="方正仿宋_GB2312" w:cs="方正仿宋_GB2312"/>
          <w:color w:val="auto"/>
          <w:sz w:val="24"/>
          <w:szCs w:val="24"/>
          <w:highlight w:val="none"/>
        </w:rPr>
        <w:fldChar w:fldCharType="separate"/>
      </w:r>
      <w:r>
        <w:rPr>
          <w:rStyle w:val="44"/>
          <w:rFonts w:hint="eastAsia" w:ascii="方正仿宋_GB2312" w:hAnsi="方正仿宋_GB2312" w:eastAsia="方正仿宋_GB2312" w:cs="方正仿宋_GB2312"/>
          <w:color w:val="auto"/>
          <w:sz w:val="24"/>
          <w:szCs w:val="24"/>
          <w:highlight w:val="none"/>
          <w:lang w:val="zh-CN"/>
        </w:rPr>
        <w:t>www.creditchina.gov.cn</w:t>
      </w:r>
      <w:r>
        <w:rPr>
          <w:rStyle w:val="44"/>
          <w:rFonts w:hint="eastAsia" w:ascii="方正仿宋_GB2312" w:hAnsi="方正仿宋_GB2312" w:eastAsia="方正仿宋_GB2312" w:cs="方正仿宋_GB2312"/>
          <w:color w:val="auto"/>
          <w:sz w:val="24"/>
          <w:szCs w:val="24"/>
          <w:highlight w:val="none"/>
          <w:lang w:val="zh-CN"/>
        </w:rPr>
        <w:fldChar w:fldCharType="end"/>
      </w:r>
      <w:r>
        <w:rPr>
          <w:rFonts w:hint="eastAsia" w:ascii="方正仿宋_GB2312" w:hAnsi="方正仿宋_GB2312" w:eastAsia="方正仿宋_GB2312" w:cs="方正仿宋_GB2312"/>
          <w:color w:val="auto"/>
          <w:sz w:val="24"/>
          <w:szCs w:val="24"/>
          <w:highlight w:val="none"/>
          <w:lang w:val="zh-CN"/>
        </w:rPr>
        <w:t>）、中国政府采购网”（</w:t>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HYPERLINK "http://www.ccgp.gov.cn" </w:instrText>
      </w:r>
      <w:r>
        <w:rPr>
          <w:rFonts w:hint="eastAsia" w:ascii="方正仿宋_GB2312" w:hAnsi="方正仿宋_GB2312" w:eastAsia="方正仿宋_GB2312" w:cs="方正仿宋_GB2312"/>
          <w:color w:val="auto"/>
          <w:sz w:val="24"/>
          <w:szCs w:val="24"/>
          <w:highlight w:val="none"/>
        </w:rPr>
        <w:fldChar w:fldCharType="separate"/>
      </w:r>
      <w:r>
        <w:rPr>
          <w:rStyle w:val="44"/>
          <w:rFonts w:hint="eastAsia" w:ascii="方正仿宋_GB2312" w:hAnsi="方正仿宋_GB2312" w:eastAsia="方正仿宋_GB2312" w:cs="方正仿宋_GB2312"/>
          <w:color w:val="auto"/>
          <w:sz w:val="24"/>
          <w:szCs w:val="24"/>
          <w:highlight w:val="none"/>
          <w:lang w:val="zh-CN"/>
        </w:rPr>
        <w:t>www.ccgp.gov.cn</w:t>
      </w:r>
      <w:r>
        <w:rPr>
          <w:rStyle w:val="44"/>
          <w:rFonts w:hint="eastAsia" w:ascii="方正仿宋_GB2312" w:hAnsi="方正仿宋_GB2312" w:eastAsia="方正仿宋_GB2312" w:cs="方正仿宋_GB2312"/>
          <w:color w:val="auto"/>
          <w:sz w:val="24"/>
          <w:szCs w:val="24"/>
          <w:highlight w:val="none"/>
          <w:lang w:val="zh-CN"/>
        </w:rPr>
        <w:fldChar w:fldCharType="end"/>
      </w:r>
      <w:r>
        <w:rPr>
          <w:rFonts w:hint="eastAsia" w:ascii="方正仿宋_GB2312" w:hAnsi="方正仿宋_GB2312" w:eastAsia="方正仿宋_GB2312" w:cs="方正仿宋_GB2312"/>
          <w:color w:val="auto"/>
          <w:sz w:val="24"/>
          <w:szCs w:val="24"/>
          <w:highlight w:val="none"/>
          <w:lang w:val="zh-CN"/>
        </w:rPr>
        <w:t>）对供应商是否被列入失信被执行人、重大税收违法案件当事人名单、政府采购严重违法失信行为记录名单的情况进行查询，以确定供应商是否具备磋商资格。查询结果将以网页打印的形式留存并归档。</w:t>
      </w:r>
    </w:p>
    <w:p w14:paraId="6C15A166">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20</w:t>
      </w:r>
      <w:r>
        <w:rPr>
          <w:rFonts w:hint="eastAsia" w:ascii="方正仿宋_GB2312" w:hAnsi="方正仿宋_GB2312" w:eastAsia="方正仿宋_GB2312" w:cs="方正仿宋_GB2312"/>
          <w:color w:val="auto"/>
          <w:sz w:val="24"/>
          <w:szCs w:val="24"/>
          <w:highlight w:val="none"/>
          <w:lang w:val="zh-CN"/>
        </w:rPr>
        <w:t>.1.1.3响应文件有下列情况之一的，在资格性审查时按照无效响应文件处理：</w:t>
      </w:r>
    </w:p>
    <w:p w14:paraId="2C8F2889">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（1）不具备磋商文件中规定的资格要求的；</w:t>
      </w:r>
    </w:p>
    <w:p w14:paraId="49AE22BB">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（2）供应商被“信用中国”网站（www.creditchina.gov.cn）“中国政府采购网”网站（www.ccgp.gov.cn）等渠道列入失信被执行人或重大税收违法案件当事人名单或政府采购严重失信行为记录名单。</w:t>
      </w:r>
    </w:p>
    <w:p w14:paraId="3F50E7EA">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20.2响应文件的符合性审查</w:t>
      </w:r>
    </w:p>
    <w:p w14:paraId="4AC29BF3">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20.2.1磋商小组对响应文件的有效性、完整性和对磋商文件的响应程度进行审查，</w:t>
      </w:r>
      <w:r>
        <w:rPr>
          <w:rFonts w:hint="eastAsia" w:ascii="方正仿宋_GB2312" w:hAnsi="方正仿宋_GB2312" w:eastAsia="方正仿宋_GB2312" w:cs="方正仿宋_GB2312"/>
          <w:color w:val="auto"/>
          <w:sz w:val="24"/>
          <w:szCs w:val="24"/>
          <w:highlight w:val="none"/>
          <w:lang w:val="zh-CN"/>
        </w:rPr>
        <w:t>以确定是否对磋商文件的实质性要求作出响应。</w:t>
      </w:r>
    </w:p>
    <w:p w14:paraId="04F73642">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p>
    <w:p w14:paraId="1F2BE093">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20.2.3如果响应文件没有实质上响应磋商文件的要求，磋商小组将予以拒绝。</w:t>
      </w:r>
    </w:p>
    <w:p w14:paraId="1C753D75">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20.2.4磋商小组</w:t>
      </w:r>
      <w:r>
        <w:rPr>
          <w:rFonts w:hint="eastAsia" w:ascii="方正仿宋_GB2312" w:hAnsi="方正仿宋_GB2312" w:eastAsia="方正仿宋_GB2312" w:cs="方正仿宋_GB2312"/>
          <w:bCs/>
          <w:color w:val="auto"/>
          <w:sz w:val="24"/>
          <w:szCs w:val="24"/>
          <w:highlight w:val="none"/>
        </w:rPr>
        <w:t>将对确定为实质性响应的响应文件进行进一步</w:t>
      </w:r>
      <w:r>
        <w:rPr>
          <w:rFonts w:hint="eastAsia" w:ascii="方正仿宋_GB2312" w:hAnsi="方正仿宋_GB2312" w:eastAsia="方正仿宋_GB2312" w:cs="方正仿宋_GB2312"/>
          <w:color w:val="auto"/>
          <w:sz w:val="24"/>
          <w:szCs w:val="24"/>
          <w:highlight w:val="none"/>
        </w:rPr>
        <w:t>初审，</w:t>
      </w:r>
      <w:r>
        <w:rPr>
          <w:rFonts w:hint="eastAsia" w:ascii="方正仿宋_GB2312" w:hAnsi="方正仿宋_GB2312" w:eastAsia="方正仿宋_GB2312" w:cs="方正仿宋_GB2312"/>
          <w:bCs/>
          <w:color w:val="auto"/>
          <w:sz w:val="24"/>
          <w:szCs w:val="24"/>
          <w:highlight w:val="none"/>
        </w:rPr>
        <w:t>看其是否有计算上或累加上的算术错误，</w:t>
      </w:r>
      <w:r>
        <w:rPr>
          <w:rFonts w:hint="eastAsia" w:ascii="方正仿宋_GB2312" w:hAnsi="方正仿宋_GB2312" w:eastAsia="方正仿宋_GB2312" w:cs="方正仿宋_GB2312"/>
          <w:color w:val="auto"/>
          <w:sz w:val="24"/>
          <w:szCs w:val="24"/>
          <w:highlight w:val="none"/>
        </w:rPr>
        <w:t>修正原则如下：</w:t>
      </w:r>
    </w:p>
    <w:p w14:paraId="0ED8A3DD">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（1）投标文件中开标一览表内容与投标文件中相应内容不一致的，以开标一览表为准。</w:t>
      </w:r>
    </w:p>
    <w:p w14:paraId="2DA3E9D3">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（2）大写金额和小写金额不一致的，以大写金额为准。</w:t>
      </w:r>
    </w:p>
    <w:p w14:paraId="6C347E45">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（3）单价金额小数点或者百分比有明显错位的，以开标一览表的总价为准，并修改单价。</w:t>
      </w:r>
    </w:p>
    <w:p w14:paraId="63E4E7ED">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（4）总价金额与按单价汇总金额不一致的，以单价金额计算结果为准。</w:t>
      </w:r>
    </w:p>
    <w:p w14:paraId="43EB6252">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同时出现两种以上错误的，按照前款规定的顺序修正。</w:t>
      </w:r>
    </w:p>
    <w:p w14:paraId="6270A7E1">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磋商小组将按上述修正错误的方法调整响应文件中的磋商报价，调整后的价格应对供应商具有约束力。如果供应商不同意修正的，其响应文件无效。</w:t>
      </w:r>
    </w:p>
    <w:p w14:paraId="79E7BC66">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20.</w:t>
      </w:r>
      <w:r>
        <w:rPr>
          <w:rFonts w:hint="eastAsia" w:ascii="方正仿宋_GB2312" w:hAnsi="方正仿宋_GB2312" w:eastAsia="方正仿宋_GB2312" w:cs="方正仿宋_GB2312"/>
          <w:bCs/>
          <w:color w:val="auto"/>
          <w:sz w:val="24"/>
          <w:szCs w:val="24"/>
          <w:highlight w:val="none"/>
          <w:lang w:val="en-US" w:eastAsia="zh-CN"/>
        </w:rPr>
        <w:t>3</w:t>
      </w:r>
      <w:r>
        <w:rPr>
          <w:rFonts w:hint="eastAsia" w:ascii="方正仿宋_GB2312" w:hAnsi="方正仿宋_GB2312" w:eastAsia="方正仿宋_GB2312" w:cs="方正仿宋_GB2312"/>
          <w:bCs/>
          <w:color w:val="auto"/>
          <w:sz w:val="24"/>
          <w:szCs w:val="24"/>
          <w:highlight w:val="none"/>
        </w:rPr>
        <w:t>响应文件的澄清</w:t>
      </w:r>
    </w:p>
    <w:p w14:paraId="4E5027C0">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20.</w:t>
      </w:r>
      <w:r>
        <w:rPr>
          <w:rFonts w:hint="eastAsia" w:ascii="方正仿宋_GB2312" w:hAnsi="方正仿宋_GB2312" w:eastAsia="方正仿宋_GB2312" w:cs="方正仿宋_GB2312"/>
          <w:color w:val="auto"/>
          <w:sz w:val="24"/>
          <w:szCs w:val="24"/>
          <w:highlight w:val="none"/>
          <w:lang w:val="en-US" w:eastAsia="zh-CN"/>
        </w:rPr>
        <w:t>3</w:t>
      </w:r>
      <w:r>
        <w:rPr>
          <w:rFonts w:hint="eastAsia" w:ascii="方正仿宋_GB2312" w:hAnsi="方正仿宋_GB2312" w:eastAsia="方正仿宋_GB2312" w:cs="方正仿宋_GB2312"/>
          <w:color w:val="auto"/>
          <w:sz w:val="24"/>
          <w:szCs w:val="24"/>
          <w:highlight w:val="none"/>
        </w:rPr>
        <w:t>.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CE21580">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磋商小组并非对每个供应商都</w:t>
      </w:r>
      <w:r>
        <w:rPr>
          <w:rFonts w:hint="eastAsia" w:ascii="方正仿宋_GB2312" w:hAnsi="方正仿宋_GB2312" w:eastAsia="方正仿宋_GB2312" w:cs="方正仿宋_GB2312"/>
          <w:color w:val="auto"/>
          <w:sz w:val="24"/>
          <w:szCs w:val="24"/>
          <w:highlight w:val="none"/>
          <w:lang w:eastAsia="zh-CN"/>
        </w:rPr>
        <w:t>做</w:t>
      </w:r>
      <w:r>
        <w:rPr>
          <w:rFonts w:hint="eastAsia" w:ascii="方正仿宋_GB2312" w:hAnsi="方正仿宋_GB2312" w:eastAsia="方正仿宋_GB2312" w:cs="方正仿宋_GB2312"/>
          <w:color w:val="auto"/>
          <w:sz w:val="24"/>
          <w:szCs w:val="24"/>
          <w:highlight w:val="none"/>
        </w:rPr>
        <w:t>澄清要求。</w:t>
      </w:r>
    </w:p>
    <w:p w14:paraId="6EE334AB">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20.</w:t>
      </w:r>
      <w:r>
        <w:rPr>
          <w:rFonts w:hint="eastAsia" w:ascii="方正仿宋_GB2312" w:hAnsi="方正仿宋_GB2312" w:eastAsia="方正仿宋_GB2312" w:cs="方正仿宋_GB2312"/>
          <w:bCs/>
          <w:color w:val="auto"/>
          <w:sz w:val="24"/>
          <w:szCs w:val="24"/>
          <w:highlight w:val="none"/>
          <w:lang w:val="en-US" w:eastAsia="zh-CN"/>
        </w:rPr>
        <w:t>3</w:t>
      </w:r>
      <w:r>
        <w:rPr>
          <w:rFonts w:hint="eastAsia" w:ascii="方正仿宋_GB2312" w:hAnsi="方正仿宋_GB2312" w:eastAsia="方正仿宋_GB2312" w:cs="方正仿宋_GB2312"/>
          <w:bCs/>
          <w:color w:val="auto"/>
          <w:sz w:val="24"/>
          <w:szCs w:val="24"/>
          <w:highlight w:val="none"/>
        </w:rPr>
        <w:t>.2</w:t>
      </w:r>
      <w:r>
        <w:rPr>
          <w:rFonts w:hint="eastAsia" w:ascii="方正仿宋_GB2312" w:hAnsi="方正仿宋_GB2312" w:eastAsia="方正仿宋_GB2312" w:cs="方正仿宋_GB2312"/>
          <w:color w:val="auto"/>
          <w:sz w:val="24"/>
          <w:szCs w:val="24"/>
          <w:highlight w:val="none"/>
        </w:rPr>
        <w:t>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65DD653">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20.</w:t>
      </w:r>
      <w:r>
        <w:rPr>
          <w:rFonts w:hint="eastAsia" w:ascii="方正仿宋_GB2312" w:hAnsi="方正仿宋_GB2312" w:eastAsia="方正仿宋_GB2312" w:cs="方正仿宋_GB2312"/>
          <w:color w:val="auto"/>
          <w:sz w:val="24"/>
          <w:szCs w:val="24"/>
          <w:highlight w:val="none"/>
          <w:lang w:val="en-US" w:eastAsia="zh-CN"/>
        </w:rPr>
        <w:t>3</w:t>
      </w:r>
      <w:r>
        <w:rPr>
          <w:rFonts w:hint="eastAsia" w:ascii="方正仿宋_GB2312" w:hAnsi="方正仿宋_GB2312" w:eastAsia="方正仿宋_GB2312" w:cs="方正仿宋_GB2312"/>
          <w:color w:val="auto"/>
          <w:sz w:val="24"/>
          <w:szCs w:val="24"/>
          <w:highlight w:val="none"/>
        </w:rPr>
        <w:t>.3接到磋商小组澄清、说明和更正要求的供应商如未按规定作出澄清、说明和更正，其风险由供应商自行承担。</w:t>
      </w:r>
    </w:p>
    <w:p w14:paraId="7C61CCFD">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20.</w:t>
      </w:r>
      <w:r>
        <w:rPr>
          <w:rFonts w:hint="eastAsia" w:ascii="方正仿宋_GB2312" w:hAnsi="方正仿宋_GB2312" w:eastAsia="方正仿宋_GB2312" w:cs="方正仿宋_GB2312"/>
          <w:color w:val="auto"/>
          <w:sz w:val="24"/>
          <w:szCs w:val="24"/>
          <w:highlight w:val="none"/>
          <w:lang w:val="en-US" w:eastAsia="zh-CN"/>
        </w:rPr>
        <w:t>4</w:t>
      </w:r>
      <w:r>
        <w:rPr>
          <w:rFonts w:hint="eastAsia" w:ascii="方正仿宋_GB2312" w:hAnsi="方正仿宋_GB2312" w:eastAsia="方正仿宋_GB2312" w:cs="方正仿宋_GB2312"/>
          <w:color w:val="auto"/>
          <w:sz w:val="24"/>
          <w:szCs w:val="24"/>
          <w:highlight w:val="none"/>
        </w:rPr>
        <w:t>未通过资格审查或符合性审查的供应商，磋商小组将在苏采云系统中告知未通过资格审查或符合性审查的原因，评审结束后，磋商小组将不再告知未通过资格审查或符合性审查的原因。</w:t>
      </w:r>
    </w:p>
    <w:p w14:paraId="6A62C98D">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20.</w:t>
      </w:r>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31E7F656">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20.</w:t>
      </w:r>
      <w:r>
        <w:rPr>
          <w:rFonts w:hint="eastAsia" w:ascii="方正仿宋_GB2312" w:hAnsi="方正仿宋_GB2312" w:eastAsia="方正仿宋_GB2312" w:cs="方正仿宋_GB2312"/>
          <w:color w:val="auto"/>
          <w:sz w:val="24"/>
          <w:szCs w:val="24"/>
          <w:highlight w:val="none"/>
          <w:lang w:val="en-US" w:eastAsia="zh-CN"/>
        </w:rPr>
        <w:t>6</w:t>
      </w:r>
      <w:r>
        <w:rPr>
          <w:rFonts w:hint="eastAsia" w:ascii="方正仿宋_GB2312" w:hAnsi="方正仿宋_GB2312" w:eastAsia="方正仿宋_GB2312" w:cs="方正仿宋_GB2312"/>
          <w:color w:val="auto"/>
          <w:sz w:val="24"/>
          <w:szCs w:val="24"/>
          <w:highlight w:val="none"/>
        </w:rPr>
        <w:t>磋商中，磋商的任何一方不得透露与磋商有关的其他参加供应商的技术资料、价格和其他信息。如果参加磋商供应商试图向采购人（代理机构）和磋商小组人员施加任何影响，都将会导致其磋商被拒绝。</w:t>
      </w:r>
    </w:p>
    <w:p w14:paraId="4F3EC7BB">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20.</w:t>
      </w:r>
      <w:r>
        <w:rPr>
          <w:rFonts w:hint="eastAsia" w:ascii="方正仿宋_GB2312" w:hAnsi="方正仿宋_GB2312" w:eastAsia="方正仿宋_GB2312" w:cs="方正仿宋_GB2312"/>
          <w:color w:val="auto"/>
          <w:sz w:val="24"/>
          <w:szCs w:val="24"/>
          <w:highlight w:val="none"/>
          <w:lang w:val="en-US" w:eastAsia="zh-CN"/>
        </w:rPr>
        <w:t>7</w:t>
      </w:r>
      <w:r>
        <w:rPr>
          <w:rFonts w:hint="eastAsia" w:ascii="方正仿宋_GB2312" w:hAnsi="方正仿宋_GB2312" w:eastAsia="方正仿宋_GB2312" w:cs="方正仿宋_GB2312"/>
          <w:color w:val="auto"/>
          <w:sz w:val="24"/>
          <w:szCs w:val="24"/>
          <w:highlight w:val="none"/>
        </w:rPr>
        <w:t>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7D9FE6F1">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在磋商过程中，磋商小组可能根据磋商文件和磋商情况实质性变动的内容有：采购需求中的技术、服务要求以及合同草案条款</w:t>
      </w:r>
      <w:r>
        <w:rPr>
          <w:rFonts w:hint="eastAsia" w:ascii="方正仿宋_GB2312" w:hAnsi="方正仿宋_GB2312" w:eastAsia="方正仿宋_GB2312" w:cs="方正仿宋_GB2312"/>
          <w:color w:val="auto"/>
          <w:sz w:val="24"/>
          <w:szCs w:val="24"/>
          <w:highlight w:val="none"/>
          <w:lang w:val="en-US" w:eastAsia="zh-CN"/>
        </w:rPr>
        <w:t>但不得变动磋商文件中的其他内容。实质性变动的内容，须经采购人代表确认</w:t>
      </w:r>
      <w:r>
        <w:rPr>
          <w:rFonts w:hint="eastAsia" w:ascii="方正仿宋_GB2312" w:hAnsi="方正仿宋_GB2312" w:eastAsia="方正仿宋_GB2312" w:cs="方正仿宋_GB2312"/>
          <w:color w:val="auto"/>
          <w:sz w:val="24"/>
          <w:szCs w:val="24"/>
          <w:highlight w:val="none"/>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0B9747C9">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20.</w:t>
      </w:r>
      <w:r>
        <w:rPr>
          <w:rFonts w:hint="eastAsia" w:ascii="方正仿宋_GB2312" w:hAnsi="方正仿宋_GB2312" w:eastAsia="方正仿宋_GB2312" w:cs="方正仿宋_GB2312"/>
          <w:color w:val="auto"/>
          <w:sz w:val="24"/>
          <w:szCs w:val="24"/>
          <w:highlight w:val="none"/>
          <w:lang w:val="en-US" w:eastAsia="zh-CN"/>
        </w:rPr>
        <w:t>8</w:t>
      </w:r>
      <w:r>
        <w:rPr>
          <w:rFonts w:hint="eastAsia" w:ascii="方正仿宋_GB2312" w:hAnsi="方正仿宋_GB2312" w:eastAsia="方正仿宋_GB2312" w:cs="方正仿宋_GB2312"/>
          <w:color w:val="auto"/>
          <w:sz w:val="24"/>
          <w:szCs w:val="24"/>
          <w:highlight w:val="none"/>
        </w:rPr>
        <w:t>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02C8752B">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20.8.1</w:t>
      </w:r>
      <w:r>
        <w:rPr>
          <w:rFonts w:hint="eastAsia" w:ascii="方正仿宋_GB2312" w:hAnsi="方正仿宋_GB2312" w:eastAsia="方正仿宋_GB2312" w:cs="方正仿宋_GB2312"/>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方正仿宋_GB2312" w:hAnsi="方正仿宋_GB2312" w:eastAsia="方正仿宋_GB2312" w:cs="方正仿宋_GB2312"/>
          <w:color w:val="auto"/>
          <w:sz w:val="24"/>
          <w:szCs w:val="24"/>
          <w:highlight w:val="none"/>
          <w:lang w:eastAsia="zh-CN"/>
        </w:rPr>
        <w:t>，并</w:t>
      </w:r>
      <w:r>
        <w:rPr>
          <w:rFonts w:hint="eastAsia" w:ascii="方正仿宋_GB2312" w:hAnsi="方正仿宋_GB2312" w:eastAsia="方正仿宋_GB2312" w:cs="方正仿宋_GB2312"/>
          <w:color w:val="auto"/>
          <w:sz w:val="24"/>
          <w:szCs w:val="24"/>
          <w:highlight w:val="none"/>
        </w:rPr>
        <w:t>在苏采云系统中向其发布“最后报价要求函”及最后报价格式表，要求其在规定时间内提交最后报价。</w:t>
      </w:r>
    </w:p>
    <w:p w14:paraId="0C4B369E">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20.8.2</w:t>
      </w:r>
      <w:r>
        <w:rPr>
          <w:rFonts w:hint="eastAsia" w:ascii="方正仿宋_GB2312" w:hAnsi="方正仿宋_GB2312" w:eastAsia="方正仿宋_GB2312" w:cs="方正仿宋_GB2312"/>
          <w:color w:val="auto"/>
          <w:sz w:val="24"/>
          <w:szCs w:val="24"/>
          <w:highlight w:val="none"/>
        </w:rPr>
        <w:t>最后报价是供应商响应文件的有效组成部分。符合《政府采购竞争性磋商采购方</w:t>
      </w:r>
      <w:r>
        <w:rPr>
          <w:rFonts w:hint="eastAsia" w:ascii="方正仿宋_GB2312" w:hAnsi="方正仿宋_GB2312" w:eastAsia="方正仿宋_GB2312" w:cs="方正仿宋_GB2312"/>
          <w:color w:val="auto"/>
          <w:sz w:val="24"/>
          <w:szCs w:val="24"/>
          <w:highlight w:val="none"/>
          <w:lang w:eastAsia="zh-CN"/>
        </w:rPr>
        <w:t>式管</w:t>
      </w:r>
      <w:r>
        <w:rPr>
          <w:rFonts w:hint="eastAsia" w:ascii="方正仿宋_GB2312" w:hAnsi="方正仿宋_GB2312" w:eastAsia="方正仿宋_GB2312" w:cs="方正仿宋_GB2312"/>
          <w:color w:val="auto"/>
          <w:sz w:val="24"/>
          <w:szCs w:val="24"/>
          <w:highlight w:val="none"/>
        </w:rPr>
        <w:t>理暂行办法》第三条第一款第四项及《财政部关于竞争性磋商采购方式管理暂行办法有关问题的补充通知》（财库</w:t>
      </w:r>
      <w:r>
        <w:rPr>
          <w:rFonts w:hint="eastAsia" w:ascii="方正仿宋_GB2312" w:hAnsi="方正仿宋_GB2312" w:eastAsia="方正仿宋_GB2312" w:cs="方正仿宋_GB2312"/>
          <w:color w:val="auto"/>
          <w:sz w:val="24"/>
          <w:szCs w:val="24"/>
          <w:highlight w:val="none"/>
          <w:lang w:eastAsia="zh-CN"/>
        </w:rPr>
        <w:t>〔2015〕124号</w:t>
      </w:r>
      <w:r>
        <w:rPr>
          <w:rFonts w:hint="eastAsia" w:ascii="方正仿宋_GB2312" w:hAnsi="方正仿宋_GB2312" w:eastAsia="方正仿宋_GB2312" w:cs="方正仿宋_GB2312"/>
          <w:color w:val="auto"/>
          <w:sz w:val="24"/>
          <w:szCs w:val="24"/>
          <w:highlight w:val="none"/>
        </w:rPr>
        <w:t>）规定情形的，提交最后报价的供应商可以为2家。</w:t>
      </w:r>
    </w:p>
    <w:p w14:paraId="56F28E71">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0</w:t>
      </w:r>
      <w:r>
        <w:rPr>
          <w:rFonts w:hint="eastAsia" w:ascii="方正仿宋_GB2312" w:hAnsi="方正仿宋_GB2312" w:eastAsia="方正仿宋_GB2312" w:cs="方正仿宋_GB2312"/>
          <w:color w:val="auto"/>
          <w:sz w:val="24"/>
          <w:szCs w:val="24"/>
          <w:highlight w:val="none"/>
        </w:rPr>
        <w:t>.8</w:t>
      </w:r>
      <w:r>
        <w:rPr>
          <w:rFonts w:hint="eastAsia" w:ascii="方正仿宋_GB2312" w:hAnsi="方正仿宋_GB2312" w:eastAsia="方正仿宋_GB2312" w:cs="方正仿宋_GB2312"/>
          <w:color w:val="auto"/>
          <w:sz w:val="24"/>
          <w:szCs w:val="24"/>
          <w:highlight w:val="none"/>
          <w:lang w:val="en-US" w:eastAsia="zh-CN"/>
        </w:rPr>
        <w:t>.3</w:t>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pacing w:val="0"/>
          <w:sz w:val="24"/>
          <w:highlight w:val="none"/>
        </w:rPr>
        <w:t>异常低价投标审查</w:t>
      </w:r>
    </w:p>
    <w:p w14:paraId="1CFD4DB3">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0</w:t>
      </w:r>
      <w:r>
        <w:rPr>
          <w:rFonts w:hint="eastAsia" w:ascii="方正仿宋_GB2312" w:hAnsi="方正仿宋_GB2312" w:eastAsia="方正仿宋_GB2312" w:cs="方正仿宋_GB2312"/>
          <w:color w:val="auto"/>
          <w:sz w:val="24"/>
          <w:szCs w:val="24"/>
          <w:highlight w:val="none"/>
        </w:rPr>
        <w:t>.8</w:t>
      </w:r>
      <w:r>
        <w:rPr>
          <w:rFonts w:hint="eastAsia" w:ascii="方正仿宋_GB2312" w:hAnsi="方正仿宋_GB2312" w:eastAsia="方正仿宋_GB2312" w:cs="方正仿宋_GB2312"/>
          <w:color w:val="auto"/>
          <w:sz w:val="24"/>
          <w:szCs w:val="24"/>
          <w:highlight w:val="none"/>
          <w:lang w:val="en-US" w:eastAsia="zh-CN"/>
        </w:rPr>
        <w:t>.3</w:t>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lang w:val="en-US" w:eastAsia="zh-CN"/>
        </w:rPr>
        <w:t>.1</w:t>
      </w:r>
      <w:r>
        <w:rPr>
          <w:rFonts w:hint="eastAsia" w:ascii="方正仿宋_GB2312" w:hAnsi="方正仿宋_GB2312" w:eastAsia="方正仿宋_GB2312" w:cs="方正仿宋_GB2312"/>
          <w:color w:val="auto"/>
          <w:sz w:val="24"/>
          <w:szCs w:val="24"/>
          <w:highlight w:val="none"/>
          <w:lang w:eastAsia="zh-CN"/>
        </w:rPr>
        <w:t>磋商小组</w:t>
      </w:r>
      <w:r>
        <w:rPr>
          <w:rFonts w:hint="eastAsia" w:ascii="方正仿宋_GB2312" w:hAnsi="方正仿宋_GB2312" w:eastAsia="方正仿宋_GB2312" w:cs="方正仿宋_GB2312"/>
          <w:color w:val="auto"/>
          <w:sz w:val="24"/>
          <w:szCs w:val="24"/>
          <w:highlight w:val="none"/>
        </w:rPr>
        <w:t>认为供应商的报价属于《财政部关于推动解决政府采购异常低价问题的通知》（财库〔202</w:t>
      </w:r>
      <w:r>
        <w:rPr>
          <w:rFonts w:hint="eastAsia" w:ascii="方正仿宋_GB2312" w:hAnsi="方正仿宋_GB2312" w:eastAsia="方正仿宋_GB2312" w:cs="方正仿宋_GB2312"/>
          <w:color w:val="auto"/>
          <w:sz w:val="24"/>
          <w:szCs w:val="24"/>
          <w:highlight w:val="none"/>
          <w:lang w:val="en-US" w:eastAsia="zh-CN"/>
        </w:rPr>
        <w:t>6</w:t>
      </w:r>
      <w:r>
        <w:rPr>
          <w:rFonts w:hint="eastAsia" w:ascii="方正仿宋_GB2312" w:hAnsi="方正仿宋_GB2312" w:eastAsia="方正仿宋_GB2312" w:cs="方正仿宋_GB2312"/>
          <w:color w:val="auto"/>
          <w:sz w:val="24"/>
          <w:szCs w:val="24"/>
          <w:highlight w:val="none"/>
        </w:rPr>
        <w:t>〕2号）异常低价情形的，将通过苏采云系统，按照财库〔202</w:t>
      </w:r>
      <w:r>
        <w:rPr>
          <w:rFonts w:hint="eastAsia" w:ascii="方正仿宋_GB2312" w:hAnsi="方正仿宋_GB2312" w:eastAsia="方正仿宋_GB2312" w:cs="方正仿宋_GB2312"/>
          <w:color w:val="auto"/>
          <w:sz w:val="24"/>
          <w:szCs w:val="24"/>
          <w:highlight w:val="none"/>
          <w:lang w:val="en-US" w:eastAsia="zh-CN"/>
        </w:rPr>
        <w:t>6</w:t>
      </w:r>
      <w:r>
        <w:rPr>
          <w:rFonts w:hint="eastAsia" w:ascii="方正仿宋_GB2312" w:hAnsi="方正仿宋_GB2312" w:eastAsia="方正仿宋_GB2312" w:cs="方正仿宋_GB2312"/>
          <w:color w:val="auto"/>
          <w:sz w:val="24"/>
          <w:szCs w:val="24"/>
          <w:highlight w:val="none"/>
        </w:rPr>
        <w:t>〕2号文件要求启动异常低价投标审查程序，要求其在合理的时间内提供说明，必要时提交相关证明材料；供应商不能证明其报价合理性的，评标委员会应当将其作为无效投标处理。审查相关情况应当在评标报告中进行记录。</w:t>
      </w:r>
    </w:p>
    <w:p w14:paraId="2B49ACE0">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rPr>
        <w:t xml:space="preserve"> 2</w:t>
      </w:r>
      <w:r>
        <w:rPr>
          <w:rFonts w:hint="eastAsia" w:ascii="方正仿宋_GB2312" w:hAnsi="方正仿宋_GB2312" w:eastAsia="方正仿宋_GB2312" w:cs="方正仿宋_GB2312"/>
          <w:color w:val="auto"/>
          <w:sz w:val="24"/>
          <w:szCs w:val="24"/>
          <w:highlight w:val="none"/>
          <w:lang w:val="en-US" w:eastAsia="zh-CN"/>
        </w:rPr>
        <w:t>0</w:t>
      </w:r>
      <w:r>
        <w:rPr>
          <w:rFonts w:hint="eastAsia" w:ascii="方正仿宋_GB2312" w:hAnsi="方正仿宋_GB2312" w:eastAsia="方正仿宋_GB2312" w:cs="方正仿宋_GB2312"/>
          <w:color w:val="auto"/>
          <w:sz w:val="24"/>
          <w:szCs w:val="24"/>
          <w:highlight w:val="none"/>
        </w:rPr>
        <w:t>.8</w:t>
      </w:r>
      <w:r>
        <w:rPr>
          <w:rFonts w:hint="eastAsia" w:ascii="方正仿宋_GB2312" w:hAnsi="方正仿宋_GB2312" w:eastAsia="方正仿宋_GB2312" w:cs="方正仿宋_GB2312"/>
          <w:color w:val="auto"/>
          <w:sz w:val="24"/>
          <w:szCs w:val="24"/>
          <w:highlight w:val="none"/>
          <w:lang w:val="en-US" w:eastAsia="zh-CN"/>
        </w:rPr>
        <w:t>.3.2</w:t>
      </w:r>
      <w:r>
        <w:rPr>
          <w:rFonts w:hint="eastAsia" w:ascii="方正仿宋_GB2312" w:hAnsi="方正仿宋_GB2312" w:eastAsia="方正仿宋_GB2312" w:cs="方正仿宋_GB2312"/>
          <w:color w:val="auto"/>
          <w:sz w:val="24"/>
          <w:szCs w:val="24"/>
          <w:highlight w:val="none"/>
        </w:rPr>
        <w:t>评</w:t>
      </w:r>
      <w:r>
        <w:rPr>
          <w:rFonts w:hint="eastAsia" w:ascii="方正仿宋_GB2312" w:hAnsi="方正仿宋_GB2312" w:eastAsia="方正仿宋_GB2312" w:cs="方正仿宋_GB2312"/>
          <w:color w:val="auto"/>
          <w:sz w:val="24"/>
          <w:szCs w:val="24"/>
          <w:highlight w:val="none"/>
          <w:lang w:val="en-US" w:eastAsia="zh-CN"/>
        </w:rPr>
        <w:t>标</w:t>
      </w:r>
      <w:r>
        <w:rPr>
          <w:rFonts w:hint="eastAsia" w:ascii="方正仿宋_GB2312" w:hAnsi="方正仿宋_GB2312" w:eastAsia="方正仿宋_GB2312" w:cs="方正仿宋_GB2312"/>
          <w:color w:val="auto"/>
          <w:sz w:val="24"/>
          <w:szCs w:val="24"/>
          <w:highlight w:val="none"/>
        </w:rPr>
        <w:t>中出现下列情形之一的，</w:t>
      </w:r>
      <w:r>
        <w:rPr>
          <w:rFonts w:hint="eastAsia" w:ascii="方正仿宋_GB2312" w:hAnsi="方正仿宋_GB2312" w:eastAsia="方正仿宋_GB2312" w:cs="方正仿宋_GB2312"/>
          <w:color w:val="auto"/>
          <w:sz w:val="24"/>
          <w:szCs w:val="24"/>
          <w:highlight w:val="none"/>
          <w:lang w:eastAsia="zh-CN"/>
        </w:rPr>
        <w:t>磋商小组</w:t>
      </w:r>
      <w:r>
        <w:rPr>
          <w:rFonts w:hint="eastAsia" w:ascii="方正仿宋_GB2312" w:hAnsi="方正仿宋_GB2312" w:eastAsia="方正仿宋_GB2312" w:cs="方正仿宋_GB2312"/>
          <w:color w:val="auto"/>
          <w:sz w:val="24"/>
          <w:szCs w:val="24"/>
          <w:highlight w:val="none"/>
        </w:rPr>
        <w:t>应当启动异常低价投标</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响应</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审查程序</w:t>
      </w:r>
      <w:r>
        <w:rPr>
          <w:rFonts w:hint="eastAsia" w:ascii="方正仿宋_GB2312" w:hAnsi="方正仿宋_GB2312" w:eastAsia="方正仿宋_GB2312" w:cs="方正仿宋_GB2312"/>
          <w:color w:val="auto"/>
          <w:sz w:val="24"/>
          <w:szCs w:val="24"/>
          <w:highlight w:val="none"/>
          <w:lang w:eastAsia="zh-CN"/>
        </w:rPr>
        <w:t>：</w:t>
      </w:r>
    </w:p>
    <w:p w14:paraId="151B7721">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lang w:val="en-US" w:eastAsia="zh-CN"/>
        </w:rPr>
        <w:t>1）</w:t>
      </w:r>
      <w:r>
        <w:rPr>
          <w:rFonts w:hint="eastAsia" w:ascii="方正仿宋_GB2312" w:hAnsi="方正仿宋_GB2312" w:eastAsia="方正仿宋_GB2312" w:cs="方正仿宋_GB2312"/>
          <w:color w:val="auto"/>
          <w:sz w:val="24"/>
          <w:szCs w:val="24"/>
          <w:highlight w:val="none"/>
        </w:rPr>
        <w:t>投标（响应）报价低于全部通过符合性审查供应商投标（响应）报价平均值50%的，即投标（响应）报价</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全部通过符合性审查供应商投标（响应）报价平均值×50%;</w:t>
      </w:r>
    </w:p>
    <w:p w14:paraId="2ECE9EE6">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lang w:val="en-US" w:eastAsia="zh-CN"/>
        </w:rPr>
        <w:t>2</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投标（响应）报价低于通过符合性审查的次低报价供应商投标（响应）报价50%的，即投标（响应）报价</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通过符合性审查的次低报价供应商投标（响应）报价X50%;</w:t>
      </w:r>
    </w:p>
    <w:p w14:paraId="64C99EA7">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lang w:val="en-US" w:eastAsia="zh-CN"/>
        </w:rPr>
        <w:t>3</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投标（响应）报价低于采购项目最高限价45%的，即投标（响应）报价</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采购项目最高限价X45%;</w:t>
      </w:r>
    </w:p>
    <w:p w14:paraId="6331D82D">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lang w:val="en-US" w:eastAsia="zh-CN"/>
        </w:rPr>
        <w:t>4</w:t>
      </w:r>
      <w:r>
        <w:rPr>
          <w:rFonts w:hint="eastAsia" w:ascii="方正仿宋_GB2312" w:hAnsi="方正仿宋_GB2312" w:eastAsia="方正仿宋_GB2312" w:cs="方正仿宋_GB2312"/>
          <w:color w:val="auto"/>
          <w:sz w:val="24"/>
          <w:szCs w:val="24"/>
          <w:highlight w:val="none"/>
          <w:lang w:eastAsia="zh-CN"/>
        </w:rPr>
        <w:t>）磋商小组</w:t>
      </w:r>
      <w:r>
        <w:rPr>
          <w:rFonts w:hint="eastAsia" w:ascii="方正仿宋_GB2312" w:hAnsi="方正仿宋_GB2312" w:eastAsia="方正仿宋_GB2312" w:cs="方正仿宋_GB2312"/>
          <w:color w:val="auto"/>
          <w:sz w:val="24"/>
          <w:szCs w:val="24"/>
          <w:highlight w:val="none"/>
        </w:rPr>
        <w:t>基于专业判断，认为供应商报价过低，有可能影响产品质量或者不能诚信履约的其他情形。</w:t>
      </w:r>
    </w:p>
    <w:p w14:paraId="05F64131">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采购人可以结合具体项目实际情况，提高上述第</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lang w:val="en-US" w:eastAsia="zh-CN"/>
        </w:rPr>
        <w:t>1</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项至第</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lang w:val="en-US" w:eastAsia="zh-CN"/>
        </w:rPr>
        <w:t>3</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项中启动异常低价投标</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响应</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审查的数值标准，但是最高不得超过65%。</w:t>
      </w:r>
    </w:p>
    <w:p w14:paraId="5E807455">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相关法律法规对供应商报价有规定的，从其规定。</w:t>
      </w:r>
    </w:p>
    <w:p w14:paraId="0D419D60">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磋商小组</w:t>
      </w:r>
      <w:r>
        <w:rPr>
          <w:rFonts w:hint="eastAsia" w:ascii="方正仿宋_GB2312" w:hAnsi="方正仿宋_GB2312" w:eastAsia="方正仿宋_GB2312" w:cs="方正仿宋_GB2312"/>
          <w:color w:val="auto"/>
          <w:sz w:val="24"/>
          <w:szCs w:val="24"/>
          <w:highlight w:val="none"/>
        </w:rPr>
        <w:t>启动异常低价投标</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响应</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审查后，属于前述第</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lang w:val="en-US" w:eastAsia="zh-CN"/>
        </w:rPr>
        <w:t>1</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项至第</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lang w:val="en-US" w:eastAsia="zh-CN"/>
        </w:rPr>
        <w:t>4</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项情形的，应当要求相关供应商在评审现场合理的时间内对投标</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响应</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响应</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文件一并提交相关书面说明及必要的证明材料的，在评审现场可不再重复提交。</w:t>
      </w:r>
    </w:p>
    <w:p w14:paraId="23BE125F">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0</w:t>
      </w:r>
      <w:r>
        <w:rPr>
          <w:rFonts w:hint="eastAsia" w:ascii="方正仿宋_GB2312" w:hAnsi="方正仿宋_GB2312" w:eastAsia="方正仿宋_GB2312" w:cs="方正仿宋_GB2312"/>
          <w:color w:val="auto"/>
          <w:sz w:val="24"/>
          <w:szCs w:val="24"/>
          <w:highlight w:val="none"/>
        </w:rPr>
        <w:t>.8</w:t>
      </w:r>
      <w:r>
        <w:rPr>
          <w:rFonts w:hint="eastAsia" w:ascii="方正仿宋_GB2312" w:hAnsi="方正仿宋_GB2312" w:eastAsia="方正仿宋_GB2312" w:cs="方正仿宋_GB2312"/>
          <w:color w:val="auto"/>
          <w:sz w:val="24"/>
          <w:szCs w:val="24"/>
          <w:highlight w:val="none"/>
          <w:lang w:val="en-US" w:eastAsia="zh-CN"/>
        </w:rPr>
        <w:t>.3.3</w:t>
      </w:r>
      <w:r>
        <w:rPr>
          <w:rFonts w:hint="eastAsia" w:ascii="方正仿宋_GB2312" w:hAnsi="方正仿宋_GB2312" w:eastAsia="方正仿宋_GB2312" w:cs="方正仿宋_GB2312"/>
          <w:color w:val="auto"/>
          <w:sz w:val="24"/>
          <w:szCs w:val="24"/>
          <w:highlight w:val="none"/>
          <w:lang w:eastAsia="zh-CN"/>
        </w:rPr>
        <w:t>磋商小组</w:t>
      </w:r>
      <w:r>
        <w:rPr>
          <w:rFonts w:hint="eastAsia" w:ascii="方正仿宋_GB2312" w:hAnsi="方正仿宋_GB2312" w:eastAsia="方正仿宋_GB2312" w:cs="方正仿宋_GB2312"/>
          <w:color w:val="auto"/>
          <w:sz w:val="24"/>
          <w:szCs w:val="24"/>
          <w:highlight w:val="none"/>
        </w:rPr>
        <w:t>依据专业经验，参考同类项目中标</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成交</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价格、类似产品市场价格水平、行业人工费用标准、国家有关部门指导行业协会发布的行业平均成本等情况，对报价合理性进行判断。投标</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响应</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供应商不能提供书面说明、证明材料，或者提供的书面说明、证明材料不能证明其报价合理性的，</w:t>
      </w:r>
      <w:r>
        <w:rPr>
          <w:rFonts w:hint="eastAsia" w:ascii="方正仿宋_GB2312" w:hAnsi="方正仿宋_GB2312" w:eastAsia="方正仿宋_GB2312" w:cs="方正仿宋_GB2312"/>
          <w:color w:val="auto"/>
          <w:sz w:val="24"/>
          <w:szCs w:val="24"/>
          <w:highlight w:val="none"/>
          <w:lang w:eastAsia="zh-CN"/>
        </w:rPr>
        <w:t>磋商小组</w:t>
      </w:r>
      <w:r>
        <w:rPr>
          <w:rFonts w:hint="eastAsia" w:ascii="方正仿宋_GB2312" w:hAnsi="方正仿宋_GB2312" w:eastAsia="方正仿宋_GB2312" w:cs="方正仿宋_GB2312"/>
          <w:color w:val="auto"/>
          <w:sz w:val="24"/>
          <w:szCs w:val="24"/>
          <w:highlight w:val="none"/>
        </w:rPr>
        <w:t>应当将其作为无效投标</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响应</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处理。</w:t>
      </w:r>
    </w:p>
    <w:p w14:paraId="717C31C3">
      <w:pPr>
        <w:keepNext w:val="0"/>
        <w:keepLines w:val="0"/>
        <w:pageBreakBefore w:val="0"/>
        <w:widowControl w:val="0"/>
        <w:kinsoku/>
        <w:wordWrap/>
        <w:overflowPunct/>
        <w:topLinePunct w:val="0"/>
        <w:autoSpaceDE/>
        <w:autoSpaceDN/>
        <w:bidi w:val="0"/>
        <w:spacing w:line="380" w:lineRule="exact"/>
        <w:ind w:firstLine="787" w:firstLineChars="328"/>
        <w:jc w:val="left"/>
        <w:textAlignment w:val="auto"/>
        <w:rPr>
          <w:rFonts w:hint="eastAsia" w:ascii="方正仿宋_GB2312" w:hAnsi="方正仿宋_GB2312" w:eastAsia="方正仿宋_GB2312" w:cs="方正仿宋_GB2312"/>
          <w:bCs/>
          <w:color w:val="auto"/>
          <w:sz w:val="24"/>
          <w:szCs w:val="24"/>
          <w:highlight w:val="none"/>
          <w:lang w:val="en-US" w:eastAsia="zh-CN"/>
        </w:rPr>
      </w:pPr>
      <w:r>
        <w:rPr>
          <w:rFonts w:hint="eastAsia" w:ascii="方正仿宋_GB2312" w:hAnsi="方正仿宋_GB2312" w:eastAsia="方正仿宋_GB2312" w:cs="方正仿宋_GB2312"/>
          <w:bCs/>
          <w:color w:val="auto"/>
          <w:sz w:val="24"/>
          <w:szCs w:val="24"/>
          <w:highlight w:val="none"/>
        </w:rPr>
        <w:t>20.</w:t>
      </w:r>
      <w:r>
        <w:rPr>
          <w:rFonts w:hint="eastAsia" w:ascii="方正仿宋_GB2312" w:hAnsi="方正仿宋_GB2312" w:eastAsia="方正仿宋_GB2312" w:cs="方正仿宋_GB2312"/>
          <w:bCs/>
          <w:color w:val="auto"/>
          <w:sz w:val="24"/>
          <w:szCs w:val="24"/>
          <w:highlight w:val="none"/>
          <w:lang w:val="en-US" w:eastAsia="zh-CN"/>
        </w:rPr>
        <w:t>9</w:t>
      </w:r>
      <w:r>
        <w:rPr>
          <w:rFonts w:hint="eastAsia" w:ascii="方正仿宋_GB2312" w:hAnsi="方正仿宋_GB2312" w:eastAsia="方正仿宋_GB2312" w:cs="方正仿宋_GB2312"/>
          <w:bCs/>
          <w:color w:val="auto"/>
          <w:sz w:val="24"/>
          <w:szCs w:val="24"/>
          <w:highlight w:val="none"/>
        </w:rPr>
        <w:t>磋商结束后，磋商小组将要求所有继续参加磋商的供应商凭CA锁</w:t>
      </w:r>
      <w:r>
        <w:rPr>
          <w:rFonts w:hint="eastAsia" w:ascii="方正仿宋_GB2312" w:hAnsi="方正仿宋_GB2312" w:eastAsia="方正仿宋_GB2312" w:cs="方正仿宋_GB2312"/>
          <w:bCs/>
          <w:color w:val="auto"/>
          <w:sz w:val="24"/>
          <w:szCs w:val="24"/>
          <w:highlight w:val="none"/>
          <w:lang w:eastAsia="zh-CN"/>
        </w:rPr>
        <w:t>登录</w:t>
      </w:r>
      <w:r>
        <w:rPr>
          <w:rFonts w:hint="eastAsia" w:ascii="方正仿宋_GB2312" w:hAnsi="方正仿宋_GB2312" w:eastAsia="方正仿宋_GB2312" w:cs="方正仿宋_GB2312"/>
          <w:bCs/>
          <w:color w:val="auto"/>
          <w:sz w:val="24"/>
          <w:szCs w:val="24"/>
          <w:highlight w:val="none"/>
          <w:lang w:val="en-US" w:eastAsia="zh-CN"/>
        </w:rPr>
        <w:t>苏彩云</w:t>
      </w:r>
      <w:r>
        <w:rPr>
          <w:rFonts w:hint="eastAsia" w:ascii="方正仿宋_GB2312" w:hAnsi="方正仿宋_GB2312" w:eastAsia="方正仿宋_GB2312" w:cs="方正仿宋_GB2312"/>
          <w:bCs/>
          <w:color w:val="auto"/>
          <w:sz w:val="24"/>
          <w:szCs w:val="24"/>
          <w:highlight w:val="none"/>
        </w:rPr>
        <w:t>平台在规定的时间内进行两次或两次以上的磋商报价（最终报价将作为评审的依据）</w:t>
      </w:r>
    </w:p>
    <w:p w14:paraId="73272B6B">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4A2FDE8B">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bookmarkStart w:id="25" w:name="OLE_LINK13"/>
      <w:r>
        <w:rPr>
          <w:rFonts w:hint="eastAsia" w:ascii="方正仿宋_GB2312" w:hAnsi="方正仿宋_GB2312" w:eastAsia="方正仿宋_GB2312" w:cs="方正仿宋_GB2312"/>
          <w:bCs/>
          <w:color w:val="auto"/>
          <w:sz w:val="24"/>
          <w:szCs w:val="24"/>
          <w:highlight w:val="none"/>
        </w:rPr>
        <w:t>2</w:t>
      </w:r>
      <w:r>
        <w:rPr>
          <w:rFonts w:hint="eastAsia" w:ascii="方正仿宋_GB2312" w:hAnsi="方正仿宋_GB2312" w:eastAsia="方正仿宋_GB2312" w:cs="方正仿宋_GB2312"/>
          <w:bCs/>
          <w:color w:val="auto"/>
          <w:sz w:val="24"/>
          <w:szCs w:val="24"/>
          <w:highlight w:val="none"/>
          <w:lang w:val="en-US" w:eastAsia="zh-CN"/>
        </w:rPr>
        <w:t>1</w:t>
      </w:r>
      <w:r>
        <w:rPr>
          <w:rFonts w:hint="eastAsia" w:ascii="方正仿宋_GB2312" w:hAnsi="方正仿宋_GB2312" w:eastAsia="方正仿宋_GB2312" w:cs="方正仿宋_GB2312"/>
          <w:bCs/>
          <w:color w:val="auto"/>
          <w:sz w:val="24"/>
          <w:szCs w:val="24"/>
          <w:highlight w:val="none"/>
        </w:rPr>
        <w:t xml:space="preserve"> 评审方法和评审标准</w:t>
      </w:r>
    </w:p>
    <w:p w14:paraId="562FA284">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2</w:t>
      </w:r>
      <w:r>
        <w:rPr>
          <w:rFonts w:hint="eastAsia" w:ascii="方正仿宋_GB2312" w:hAnsi="方正仿宋_GB2312" w:eastAsia="方正仿宋_GB2312" w:cs="方正仿宋_GB2312"/>
          <w:bCs/>
          <w:color w:val="auto"/>
          <w:sz w:val="24"/>
          <w:szCs w:val="24"/>
          <w:highlight w:val="none"/>
          <w:lang w:val="en-US" w:eastAsia="zh-CN"/>
        </w:rPr>
        <w:t>1</w:t>
      </w:r>
      <w:r>
        <w:rPr>
          <w:rFonts w:hint="eastAsia" w:ascii="方正仿宋_GB2312" w:hAnsi="方正仿宋_GB2312" w:eastAsia="方正仿宋_GB2312" w:cs="方正仿宋_GB2312"/>
          <w:bCs/>
          <w:color w:val="auto"/>
          <w:sz w:val="24"/>
          <w:szCs w:val="24"/>
          <w:highlight w:val="none"/>
        </w:rPr>
        <w:t>.1评审方法。经磋商确定最终采购需求和提交最后报价的供应商后，由磋商小组采用综合评分法对提交最后报价的供应商的响应文件和最后报价进行综合评分。</w:t>
      </w:r>
    </w:p>
    <w:p w14:paraId="609B246A">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1DE5540F">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2</w:t>
      </w:r>
      <w:bookmarkStart w:id="26" w:name="OLE_LINK14"/>
      <w:r>
        <w:rPr>
          <w:rFonts w:hint="eastAsia" w:ascii="方正仿宋_GB2312" w:hAnsi="方正仿宋_GB2312" w:eastAsia="方正仿宋_GB2312" w:cs="方正仿宋_GB2312"/>
          <w:bCs/>
          <w:color w:val="auto"/>
          <w:sz w:val="24"/>
          <w:szCs w:val="24"/>
          <w:highlight w:val="none"/>
          <w:lang w:val="en-US" w:eastAsia="zh-CN"/>
        </w:rPr>
        <w:t>1</w:t>
      </w:r>
      <w:r>
        <w:rPr>
          <w:rFonts w:hint="eastAsia" w:ascii="方正仿宋_GB2312" w:hAnsi="方正仿宋_GB2312" w:eastAsia="方正仿宋_GB2312" w:cs="方正仿宋_GB2312"/>
          <w:bCs/>
          <w:color w:val="auto"/>
          <w:sz w:val="24"/>
          <w:szCs w:val="24"/>
          <w:highlight w:val="none"/>
        </w:rPr>
        <w:t>.</w:t>
      </w:r>
      <w:bookmarkEnd w:id="26"/>
      <w:r>
        <w:rPr>
          <w:rFonts w:hint="eastAsia" w:ascii="方正仿宋_GB2312" w:hAnsi="方正仿宋_GB2312" w:eastAsia="方正仿宋_GB2312" w:cs="方正仿宋_GB2312"/>
          <w:bCs/>
          <w:color w:val="auto"/>
          <w:sz w:val="24"/>
          <w:szCs w:val="24"/>
          <w:highlight w:val="none"/>
        </w:rPr>
        <w:t>2评审标准</w:t>
      </w:r>
      <w:r>
        <w:rPr>
          <w:rFonts w:hint="eastAsia" w:ascii="方正仿宋_GB2312" w:hAnsi="方正仿宋_GB2312" w:eastAsia="方正仿宋_GB2312" w:cs="方正仿宋_GB2312"/>
          <w:bCs/>
          <w:color w:val="auto"/>
          <w:sz w:val="24"/>
          <w:szCs w:val="24"/>
          <w:highlight w:val="none"/>
          <w:lang w:eastAsia="zh-CN"/>
        </w:rPr>
        <w:t>：</w:t>
      </w:r>
      <w:r>
        <w:rPr>
          <w:rFonts w:hint="eastAsia" w:ascii="方正仿宋_GB2312" w:hAnsi="方正仿宋_GB2312" w:eastAsia="方正仿宋_GB2312" w:cs="方正仿宋_GB2312"/>
          <w:bCs/>
          <w:color w:val="auto"/>
          <w:sz w:val="24"/>
          <w:szCs w:val="24"/>
          <w:highlight w:val="none"/>
        </w:rPr>
        <w:t>见本磋商文件第三章规定。</w:t>
      </w:r>
      <w:bookmarkEnd w:id="25"/>
    </w:p>
    <w:p w14:paraId="6046CDFE">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
          <w:bCs w:val="0"/>
          <w:color w:val="auto"/>
          <w:sz w:val="24"/>
          <w:szCs w:val="24"/>
          <w:highlight w:val="none"/>
        </w:rPr>
      </w:pPr>
      <w:bookmarkStart w:id="27" w:name="OLE_LINK57"/>
      <w:r>
        <w:rPr>
          <w:rFonts w:hint="eastAsia" w:ascii="方正仿宋_GB2312" w:hAnsi="方正仿宋_GB2312" w:eastAsia="方正仿宋_GB2312" w:cs="方正仿宋_GB2312"/>
          <w:b/>
          <w:bCs w:val="0"/>
          <w:color w:val="auto"/>
          <w:sz w:val="24"/>
          <w:szCs w:val="24"/>
          <w:highlight w:val="none"/>
        </w:rPr>
        <w:t>2</w:t>
      </w:r>
      <w:r>
        <w:rPr>
          <w:rFonts w:hint="eastAsia" w:ascii="方正仿宋_GB2312" w:hAnsi="方正仿宋_GB2312" w:eastAsia="方正仿宋_GB2312" w:cs="方正仿宋_GB2312"/>
          <w:b/>
          <w:bCs w:val="0"/>
          <w:color w:val="auto"/>
          <w:sz w:val="24"/>
          <w:szCs w:val="24"/>
          <w:highlight w:val="none"/>
          <w:lang w:val="en-US" w:eastAsia="zh-CN"/>
        </w:rPr>
        <w:t>2</w:t>
      </w:r>
      <w:r>
        <w:rPr>
          <w:rFonts w:hint="eastAsia" w:ascii="方正仿宋_GB2312" w:hAnsi="方正仿宋_GB2312" w:eastAsia="方正仿宋_GB2312" w:cs="方正仿宋_GB2312"/>
          <w:b/>
          <w:bCs w:val="0"/>
          <w:color w:val="auto"/>
          <w:sz w:val="24"/>
          <w:szCs w:val="24"/>
          <w:highlight w:val="none"/>
        </w:rPr>
        <w:t>.出现下列情形之一的，响应文件按照无效处理：</w:t>
      </w:r>
    </w:p>
    <w:bookmarkEnd w:id="27"/>
    <w:p w14:paraId="7EF22414">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2</w:t>
      </w:r>
      <w:r>
        <w:rPr>
          <w:rFonts w:hint="eastAsia" w:ascii="方正仿宋_GB2312" w:hAnsi="方正仿宋_GB2312" w:eastAsia="方正仿宋_GB2312" w:cs="方正仿宋_GB2312"/>
          <w:color w:val="auto"/>
          <w:sz w:val="24"/>
          <w:szCs w:val="24"/>
          <w:highlight w:val="none"/>
        </w:rPr>
        <w:t>.1</w:t>
      </w:r>
      <w:r>
        <w:rPr>
          <w:rFonts w:hint="eastAsia" w:ascii="方正仿宋_GB2312" w:hAnsi="方正仿宋_GB2312" w:eastAsia="方正仿宋_GB2312" w:cs="方正仿宋_GB2312"/>
          <w:bCs/>
          <w:color w:val="auto"/>
          <w:sz w:val="24"/>
          <w:szCs w:val="24"/>
          <w:highlight w:val="none"/>
        </w:rPr>
        <w:t>供应商在苏采云系统规定的时间内未成功解密电子响应文件的。</w:t>
      </w:r>
    </w:p>
    <w:p w14:paraId="225FBA50">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2</w:t>
      </w: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bCs/>
          <w:color w:val="auto"/>
          <w:sz w:val="24"/>
          <w:szCs w:val="24"/>
          <w:highlight w:val="none"/>
        </w:rPr>
        <w:t>供应商未按照磋商文件要求上传电子响应文件的。</w:t>
      </w:r>
    </w:p>
    <w:p w14:paraId="514200D7">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2</w:t>
      </w:r>
      <w:r>
        <w:rPr>
          <w:rFonts w:hint="eastAsia" w:ascii="方正仿宋_GB2312" w:hAnsi="方正仿宋_GB2312" w:eastAsia="方正仿宋_GB2312" w:cs="方正仿宋_GB2312"/>
          <w:color w:val="auto"/>
          <w:sz w:val="24"/>
          <w:szCs w:val="24"/>
          <w:highlight w:val="none"/>
        </w:rPr>
        <w:t>.3</w:t>
      </w:r>
      <w:r>
        <w:rPr>
          <w:rFonts w:hint="eastAsia" w:ascii="方正仿宋_GB2312" w:hAnsi="方正仿宋_GB2312" w:eastAsia="方正仿宋_GB2312" w:cs="方正仿宋_GB2312"/>
          <w:bCs/>
          <w:color w:val="auto"/>
          <w:sz w:val="24"/>
          <w:szCs w:val="24"/>
          <w:highlight w:val="none"/>
        </w:rPr>
        <w:t>同一供应商提交两个（含两个）以上不同的响应文件或者最后报价的。</w:t>
      </w:r>
    </w:p>
    <w:p w14:paraId="1B561835">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2</w:t>
      </w:r>
      <w:r>
        <w:rPr>
          <w:rFonts w:hint="eastAsia" w:ascii="方正仿宋_GB2312" w:hAnsi="方正仿宋_GB2312" w:eastAsia="方正仿宋_GB2312" w:cs="方正仿宋_GB2312"/>
          <w:color w:val="auto"/>
          <w:sz w:val="24"/>
          <w:szCs w:val="24"/>
          <w:highlight w:val="none"/>
        </w:rPr>
        <w:t>.4</w:t>
      </w:r>
      <w:r>
        <w:rPr>
          <w:rFonts w:hint="eastAsia" w:ascii="方正仿宋_GB2312" w:hAnsi="方正仿宋_GB2312" w:eastAsia="方正仿宋_GB2312" w:cs="方正仿宋_GB2312"/>
          <w:bCs/>
          <w:color w:val="auto"/>
          <w:sz w:val="24"/>
          <w:szCs w:val="24"/>
          <w:highlight w:val="none"/>
        </w:rPr>
        <w:t>供应商不具备磋商文件中规定资格要求的。</w:t>
      </w:r>
    </w:p>
    <w:p w14:paraId="08779D08">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2</w:t>
      </w:r>
      <w:r>
        <w:rPr>
          <w:rFonts w:hint="eastAsia" w:ascii="方正仿宋_GB2312" w:hAnsi="方正仿宋_GB2312" w:eastAsia="方正仿宋_GB2312" w:cs="方正仿宋_GB2312"/>
          <w:color w:val="auto"/>
          <w:sz w:val="24"/>
          <w:szCs w:val="24"/>
          <w:highlight w:val="none"/>
        </w:rPr>
        <w:t>.5</w:t>
      </w:r>
      <w:r>
        <w:rPr>
          <w:rFonts w:hint="eastAsia" w:ascii="方正仿宋_GB2312" w:hAnsi="方正仿宋_GB2312" w:eastAsia="方正仿宋_GB2312" w:cs="方正仿宋_GB2312"/>
          <w:bCs/>
          <w:color w:val="auto"/>
          <w:sz w:val="24"/>
          <w:szCs w:val="24"/>
          <w:highlight w:val="none"/>
        </w:rPr>
        <w:t>供应商的最后报价超过了采购预算。</w:t>
      </w:r>
    </w:p>
    <w:p w14:paraId="7114BBE4">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2</w:t>
      </w:r>
      <w:r>
        <w:rPr>
          <w:rFonts w:hint="eastAsia" w:ascii="方正仿宋_GB2312" w:hAnsi="方正仿宋_GB2312" w:eastAsia="方正仿宋_GB2312" w:cs="方正仿宋_GB2312"/>
          <w:color w:val="auto"/>
          <w:sz w:val="24"/>
          <w:szCs w:val="24"/>
          <w:highlight w:val="none"/>
        </w:rPr>
        <w:t>.6投标文件含有采购人不能接受的附加条件的；</w:t>
      </w:r>
    </w:p>
    <w:p w14:paraId="18FFDCBE">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2</w:t>
      </w:r>
      <w:r>
        <w:rPr>
          <w:rFonts w:hint="eastAsia" w:ascii="方正仿宋_GB2312" w:hAnsi="方正仿宋_GB2312" w:eastAsia="方正仿宋_GB2312" w:cs="方正仿宋_GB2312"/>
          <w:color w:val="auto"/>
          <w:sz w:val="24"/>
          <w:szCs w:val="24"/>
          <w:highlight w:val="none"/>
        </w:rPr>
        <w:t>.7其他</w:t>
      </w:r>
      <w:r>
        <w:rPr>
          <w:rFonts w:hint="eastAsia" w:ascii="方正仿宋_GB2312" w:hAnsi="方正仿宋_GB2312" w:eastAsia="方正仿宋_GB2312" w:cs="方正仿宋_GB2312"/>
          <w:color w:val="auto"/>
          <w:sz w:val="24"/>
          <w:szCs w:val="24"/>
          <w:highlight w:val="none"/>
          <w:lang w:eastAsia="zh-CN"/>
        </w:rPr>
        <w:t>法律法规</w:t>
      </w:r>
      <w:r>
        <w:rPr>
          <w:rFonts w:hint="eastAsia" w:ascii="方正仿宋_GB2312" w:hAnsi="方正仿宋_GB2312" w:eastAsia="方正仿宋_GB2312" w:cs="方正仿宋_GB2312"/>
          <w:color w:val="auto"/>
          <w:sz w:val="24"/>
          <w:szCs w:val="24"/>
          <w:highlight w:val="none"/>
        </w:rPr>
        <w:t>及本采购文件规定的</w:t>
      </w:r>
      <w:r>
        <w:rPr>
          <w:rFonts w:hint="eastAsia" w:ascii="方正仿宋_GB2312" w:hAnsi="方正仿宋_GB2312" w:eastAsia="方正仿宋_GB2312" w:cs="方正仿宋_GB2312"/>
          <w:color w:val="auto"/>
          <w:sz w:val="24"/>
          <w:szCs w:val="24"/>
          <w:highlight w:val="none"/>
          <w:lang w:eastAsia="zh-CN"/>
        </w:rPr>
        <w:t>属于</w:t>
      </w:r>
      <w:r>
        <w:rPr>
          <w:rFonts w:hint="eastAsia" w:ascii="方正仿宋_GB2312" w:hAnsi="方正仿宋_GB2312" w:eastAsia="方正仿宋_GB2312" w:cs="方正仿宋_GB2312"/>
          <w:color w:val="auto"/>
          <w:sz w:val="24"/>
          <w:szCs w:val="24"/>
          <w:highlight w:val="none"/>
        </w:rPr>
        <w:t>无效投标的情形。</w:t>
      </w:r>
    </w:p>
    <w:p w14:paraId="00D58ED9">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2</w:t>
      </w:r>
      <w:r>
        <w:rPr>
          <w:rFonts w:hint="eastAsia" w:ascii="方正仿宋_GB2312" w:hAnsi="方正仿宋_GB2312" w:eastAsia="方正仿宋_GB2312" w:cs="方正仿宋_GB2312"/>
          <w:color w:val="auto"/>
          <w:sz w:val="24"/>
          <w:szCs w:val="24"/>
          <w:highlight w:val="none"/>
        </w:rPr>
        <w:t>.8经查实提供虚假材料谋取成交的；</w:t>
      </w:r>
    </w:p>
    <w:p w14:paraId="69D6288D">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2</w:t>
      </w:r>
      <w:r>
        <w:rPr>
          <w:rFonts w:hint="eastAsia" w:ascii="方正仿宋_GB2312" w:hAnsi="方正仿宋_GB2312" w:eastAsia="方正仿宋_GB2312" w:cs="方正仿宋_GB2312"/>
          <w:color w:val="auto"/>
          <w:sz w:val="24"/>
          <w:szCs w:val="24"/>
          <w:highlight w:val="none"/>
        </w:rPr>
        <w:t>.9响应文件未按照磋商文件要求加盖CA电子公章的。</w:t>
      </w:r>
    </w:p>
    <w:p w14:paraId="139CB2A9">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2</w:t>
      </w:r>
      <w:r>
        <w:rPr>
          <w:rFonts w:hint="eastAsia" w:ascii="方正仿宋_GB2312" w:hAnsi="方正仿宋_GB2312" w:eastAsia="方正仿宋_GB2312" w:cs="方正仿宋_GB2312"/>
          <w:color w:val="auto"/>
          <w:sz w:val="24"/>
          <w:szCs w:val="24"/>
          <w:highlight w:val="none"/>
        </w:rPr>
        <w:t>.10未实质性响应磋商文件的响应文件按无效响应处理。</w:t>
      </w:r>
    </w:p>
    <w:p w14:paraId="781FBC0A">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22.11</w:t>
      </w:r>
      <w:r>
        <w:rPr>
          <w:rFonts w:hint="eastAsia" w:ascii="方正仿宋_GB2312" w:hAnsi="方正仿宋_GB2312" w:eastAsia="方正仿宋_GB2312" w:cs="方正仿宋_GB2312"/>
          <w:color w:val="auto"/>
          <w:sz w:val="24"/>
          <w:szCs w:val="24"/>
          <w:highlight w:val="none"/>
        </w:rPr>
        <w:t>评标委员会按照本招标文件规定对投标人进行异常低价投标审查后，认为投标人不能证明其报价合理性的。</w:t>
      </w:r>
    </w:p>
    <w:p w14:paraId="2E14EB70">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
          <w:bCs w:val="0"/>
          <w:color w:val="auto"/>
          <w:sz w:val="24"/>
          <w:szCs w:val="24"/>
          <w:highlight w:val="none"/>
        </w:rPr>
      </w:pPr>
      <w:r>
        <w:rPr>
          <w:rFonts w:hint="eastAsia" w:ascii="方正仿宋_GB2312" w:hAnsi="方正仿宋_GB2312" w:eastAsia="方正仿宋_GB2312" w:cs="方正仿宋_GB2312"/>
          <w:b/>
          <w:bCs w:val="0"/>
          <w:color w:val="auto"/>
          <w:sz w:val="24"/>
          <w:szCs w:val="24"/>
          <w:highlight w:val="none"/>
        </w:rPr>
        <w:t>2</w:t>
      </w:r>
      <w:r>
        <w:rPr>
          <w:rFonts w:hint="eastAsia" w:ascii="方正仿宋_GB2312" w:hAnsi="方正仿宋_GB2312" w:eastAsia="方正仿宋_GB2312" w:cs="方正仿宋_GB2312"/>
          <w:b/>
          <w:bCs w:val="0"/>
          <w:color w:val="auto"/>
          <w:sz w:val="24"/>
          <w:szCs w:val="24"/>
          <w:highlight w:val="none"/>
          <w:lang w:val="en-US" w:eastAsia="zh-CN"/>
        </w:rPr>
        <w:t>3</w:t>
      </w:r>
      <w:r>
        <w:rPr>
          <w:rFonts w:hint="eastAsia" w:ascii="方正仿宋_GB2312" w:hAnsi="方正仿宋_GB2312" w:eastAsia="方正仿宋_GB2312" w:cs="方正仿宋_GB2312"/>
          <w:b/>
          <w:bCs w:val="0"/>
          <w:color w:val="auto"/>
          <w:sz w:val="24"/>
          <w:szCs w:val="24"/>
          <w:highlight w:val="none"/>
        </w:rPr>
        <w:t>.出现下列情形之一的，磋商终止：</w:t>
      </w:r>
    </w:p>
    <w:p w14:paraId="3D9109BA">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3</w:t>
      </w:r>
      <w:r>
        <w:rPr>
          <w:rFonts w:hint="eastAsia" w:ascii="方正仿宋_GB2312" w:hAnsi="方正仿宋_GB2312" w:eastAsia="方正仿宋_GB2312" w:cs="方正仿宋_GB2312"/>
          <w:color w:val="auto"/>
          <w:sz w:val="24"/>
          <w:szCs w:val="24"/>
          <w:highlight w:val="none"/>
        </w:rPr>
        <w:t>.1因情况变化，不再符合规定的竞争性磋商采购方式适用情形的；</w:t>
      </w:r>
    </w:p>
    <w:p w14:paraId="59ADC58F">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3</w:t>
      </w:r>
      <w:r>
        <w:rPr>
          <w:rFonts w:hint="eastAsia" w:ascii="方正仿宋_GB2312" w:hAnsi="方正仿宋_GB2312" w:eastAsia="方正仿宋_GB2312" w:cs="方正仿宋_GB2312"/>
          <w:color w:val="auto"/>
          <w:sz w:val="24"/>
          <w:szCs w:val="24"/>
          <w:highlight w:val="none"/>
        </w:rPr>
        <w:t>.2出现影响采购公正的违法、违规行为的；</w:t>
      </w:r>
    </w:p>
    <w:p w14:paraId="23F30A97">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3</w:t>
      </w:r>
      <w:r>
        <w:rPr>
          <w:rFonts w:hint="eastAsia" w:ascii="方正仿宋_GB2312" w:hAnsi="方正仿宋_GB2312" w:eastAsia="方正仿宋_GB2312" w:cs="方正仿宋_GB2312"/>
          <w:color w:val="auto"/>
          <w:sz w:val="24"/>
          <w:szCs w:val="24"/>
          <w:highlight w:val="none"/>
        </w:rPr>
        <w:t>.3除《政府采购竞争性磋商采购方式管理暂行办法》财库</w:t>
      </w:r>
      <w:r>
        <w:rPr>
          <w:rFonts w:hint="eastAsia" w:ascii="方正仿宋_GB2312" w:hAnsi="方正仿宋_GB2312" w:eastAsia="方正仿宋_GB2312" w:cs="方正仿宋_GB2312"/>
          <w:color w:val="auto"/>
          <w:sz w:val="24"/>
          <w:szCs w:val="24"/>
          <w:highlight w:val="none"/>
          <w:lang w:eastAsia="zh-CN"/>
        </w:rPr>
        <w:t>〔2014〕214号</w:t>
      </w:r>
      <w:r>
        <w:rPr>
          <w:rFonts w:hint="eastAsia" w:ascii="方正仿宋_GB2312" w:hAnsi="方正仿宋_GB2312" w:eastAsia="方正仿宋_GB2312" w:cs="方正仿宋_GB2312"/>
          <w:color w:val="auto"/>
          <w:sz w:val="24"/>
          <w:szCs w:val="24"/>
          <w:highlight w:val="none"/>
        </w:rPr>
        <w:t>文件第二十一条第三款规定的情形除外，在采购过程中符合竞争要求的供应商或者报价未超过采购预算的供应商不足3家的。</w:t>
      </w:r>
    </w:p>
    <w:p w14:paraId="0D2167CC">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3</w:t>
      </w:r>
      <w:r>
        <w:rPr>
          <w:rFonts w:hint="eastAsia" w:ascii="方正仿宋_GB2312" w:hAnsi="方正仿宋_GB2312" w:eastAsia="方正仿宋_GB2312" w:cs="方正仿宋_GB2312"/>
          <w:color w:val="auto"/>
          <w:sz w:val="24"/>
          <w:szCs w:val="24"/>
          <w:highlight w:val="none"/>
        </w:rPr>
        <w:t>.4评标委员会认定磋商文件存在歧义、重大缺陷导致评审工作无法进行。</w:t>
      </w:r>
    </w:p>
    <w:p w14:paraId="03205CA6">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3</w:t>
      </w:r>
      <w:r>
        <w:rPr>
          <w:rFonts w:hint="eastAsia" w:ascii="方正仿宋_GB2312" w:hAnsi="方正仿宋_GB2312" w:eastAsia="方正仿宋_GB2312" w:cs="方正仿宋_GB2312"/>
          <w:color w:val="auto"/>
          <w:sz w:val="24"/>
          <w:szCs w:val="24"/>
          <w:highlight w:val="none"/>
        </w:rPr>
        <w:t>.5供应商的报价均超过了采购预算，采购人不能支付的。</w:t>
      </w:r>
    </w:p>
    <w:p w14:paraId="1EEBD651">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3</w:t>
      </w:r>
      <w:r>
        <w:rPr>
          <w:rFonts w:hint="eastAsia" w:ascii="方正仿宋_GB2312" w:hAnsi="方正仿宋_GB2312" w:eastAsia="方正仿宋_GB2312" w:cs="方正仿宋_GB2312"/>
          <w:color w:val="auto"/>
          <w:sz w:val="24"/>
          <w:szCs w:val="24"/>
          <w:highlight w:val="none"/>
        </w:rPr>
        <w:t>.6因重大变故，采购任务取消的。</w:t>
      </w:r>
    </w:p>
    <w:p w14:paraId="294C209D">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3</w:t>
      </w:r>
      <w:r>
        <w:rPr>
          <w:rFonts w:hint="eastAsia" w:ascii="方正仿宋_GB2312" w:hAnsi="方正仿宋_GB2312" w:eastAsia="方正仿宋_GB2312" w:cs="方正仿宋_GB2312"/>
          <w:color w:val="auto"/>
          <w:sz w:val="24"/>
          <w:szCs w:val="24"/>
          <w:highlight w:val="none"/>
        </w:rPr>
        <w:t>.7在苏采云系统规定时间内成功解密电子响应文件的供应商不足3家的。</w:t>
      </w:r>
    </w:p>
    <w:p w14:paraId="3E852016">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23.8</w:t>
      </w:r>
      <w:r>
        <w:rPr>
          <w:rFonts w:hint="eastAsia" w:ascii="方正仿宋_GB2312" w:hAnsi="方正仿宋_GB2312" w:eastAsia="方正仿宋_GB2312" w:cs="方正仿宋_GB2312"/>
          <w:color w:val="auto"/>
          <w:sz w:val="24"/>
          <w:szCs w:val="24"/>
          <w:highlight w:val="none"/>
        </w:rPr>
        <w:t>因苏采云系统故障原因造成开标不成功的</w:t>
      </w:r>
    </w:p>
    <w:p w14:paraId="446695BE">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磋商终止后，采购人应当将磋商终止的理由通知所有供应商。</w:t>
      </w:r>
    </w:p>
    <w:p w14:paraId="2B17CB0E">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2</w:t>
      </w:r>
      <w:r>
        <w:rPr>
          <w:rFonts w:hint="eastAsia" w:ascii="方正仿宋_GB2312" w:hAnsi="方正仿宋_GB2312" w:eastAsia="方正仿宋_GB2312" w:cs="方正仿宋_GB2312"/>
          <w:bCs/>
          <w:color w:val="auto"/>
          <w:sz w:val="24"/>
          <w:szCs w:val="24"/>
          <w:highlight w:val="none"/>
          <w:lang w:val="en-US" w:eastAsia="zh-CN"/>
        </w:rPr>
        <w:t>4</w:t>
      </w:r>
      <w:r>
        <w:rPr>
          <w:rFonts w:hint="eastAsia" w:ascii="方正仿宋_GB2312" w:hAnsi="方正仿宋_GB2312" w:eastAsia="方正仿宋_GB2312" w:cs="方正仿宋_GB2312"/>
          <w:bCs/>
          <w:color w:val="auto"/>
          <w:sz w:val="24"/>
          <w:szCs w:val="24"/>
          <w:highlight w:val="none"/>
        </w:rPr>
        <w:t>.推荐成交候选供应商</w:t>
      </w:r>
    </w:p>
    <w:p w14:paraId="7EF776E7">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4</w:t>
      </w:r>
      <w:r>
        <w:rPr>
          <w:rFonts w:hint="eastAsia" w:ascii="方正仿宋_GB2312" w:hAnsi="方正仿宋_GB2312" w:eastAsia="方正仿宋_GB2312" w:cs="方正仿宋_GB2312"/>
          <w:color w:val="auto"/>
          <w:sz w:val="24"/>
          <w:szCs w:val="24"/>
          <w:highlight w:val="none"/>
        </w:rPr>
        <w:t>.1磋商小组将对通过资格性审查和符合性审查的响应文件进行评价和比较。</w:t>
      </w:r>
    </w:p>
    <w:p w14:paraId="49F1E949">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4</w:t>
      </w:r>
      <w:r>
        <w:rPr>
          <w:rFonts w:hint="eastAsia" w:ascii="方正仿宋_GB2312" w:hAnsi="方正仿宋_GB2312" w:eastAsia="方正仿宋_GB2312" w:cs="方正仿宋_GB2312"/>
          <w:color w:val="auto"/>
          <w:sz w:val="24"/>
          <w:szCs w:val="24"/>
          <w:highlight w:val="none"/>
        </w:rPr>
        <w:t>.2磋商小组按磋商文件第三章中公布的评标标准对每份合格响应文件进行评审，推荐3名成交候选供应商。</w:t>
      </w:r>
    </w:p>
    <w:p w14:paraId="71CD1BC6">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4</w:t>
      </w:r>
      <w:r>
        <w:rPr>
          <w:rFonts w:hint="eastAsia" w:ascii="方正仿宋_GB2312" w:hAnsi="方正仿宋_GB2312" w:eastAsia="方正仿宋_GB2312" w:cs="方正仿宋_GB2312"/>
          <w:color w:val="auto"/>
          <w:sz w:val="24"/>
          <w:szCs w:val="24"/>
          <w:highlight w:val="none"/>
        </w:rPr>
        <w:t>.3 磋商小组发现磋商文件存在歧义、重大缺陷导致评审工作无法进行，或者磋商文件内容存在违反国家有关规定的，评审工作停止，采购人（代理机构）修改磋商文件后重新组织采购活动。</w:t>
      </w:r>
    </w:p>
    <w:p w14:paraId="0AB52135">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2</w:t>
      </w:r>
      <w:r>
        <w:rPr>
          <w:rFonts w:hint="eastAsia" w:ascii="方正仿宋_GB2312" w:hAnsi="方正仿宋_GB2312" w:eastAsia="方正仿宋_GB2312" w:cs="方正仿宋_GB2312"/>
          <w:bCs/>
          <w:color w:val="auto"/>
          <w:sz w:val="24"/>
          <w:szCs w:val="24"/>
          <w:highlight w:val="none"/>
          <w:lang w:val="en-US" w:eastAsia="zh-CN"/>
        </w:rPr>
        <w:t>5</w:t>
      </w:r>
      <w:r>
        <w:rPr>
          <w:rFonts w:hint="eastAsia" w:ascii="方正仿宋_GB2312" w:hAnsi="方正仿宋_GB2312" w:eastAsia="方正仿宋_GB2312" w:cs="方正仿宋_GB2312"/>
          <w:bCs/>
          <w:color w:val="auto"/>
          <w:sz w:val="24"/>
          <w:szCs w:val="24"/>
          <w:highlight w:val="none"/>
        </w:rPr>
        <w:t>.磋商过程保密</w:t>
      </w:r>
    </w:p>
    <w:p w14:paraId="56787BB2">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rPr>
        <w:t>.1在宣布成交结果前，凡属于审查、澄清、磋商、评审响应文件和确定成交等相关信息，相关当事人均不得泄露给任何供应商或与评审工作无关的人员。</w:t>
      </w:r>
    </w:p>
    <w:p w14:paraId="59FA8A64">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rPr>
        <w:t>.2供应商不得探听上述信息，不得以任何行为影响磋商过程，否则将被取消成交资格。</w:t>
      </w:r>
    </w:p>
    <w:p w14:paraId="763FD9CA">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rPr>
        <w:t>.3磋商小组名单在磋商前确定，并在磋商结果确定前保密。</w:t>
      </w:r>
    </w:p>
    <w:p w14:paraId="47049535">
      <w:pPr>
        <w:keepNext w:val="0"/>
        <w:keepLines w:val="0"/>
        <w:pageBreakBefore w:val="0"/>
        <w:widowControl w:val="0"/>
        <w:kinsoku/>
        <w:wordWrap/>
        <w:overflowPunct/>
        <w:topLinePunct w:val="0"/>
        <w:autoSpaceDE/>
        <w:autoSpaceDN/>
        <w:bidi w:val="0"/>
        <w:spacing w:line="380" w:lineRule="exact"/>
        <w:ind w:firstLine="480"/>
        <w:jc w:val="left"/>
        <w:textAlignment w:val="auto"/>
        <w:outlineLvl w:val="1"/>
        <w:rPr>
          <w:rFonts w:hint="eastAsia" w:ascii="方正仿宋_GB2312" w:hAnsi="方正仿宋_GB2312" w:eastAsia="方正仿宋_GB2312" w:cs="方正仿宋_GB2312"/>
          <w:b/>
          <w:bCs w:val="0"/>
          <w:color w:val="auto"/>
          <w:sz w:val="24"/>
          <w:szCs w:val="24"/>
          <w:highlight w:val="none"/>
        </w:rPr>
      </w:pPr>
      <w:r>
        <w:rPr>
          <w:rFonts w:hint="eastAsia" w:ascii="方正仿宋_GB2312" w:hAnsi="方正仿宋_GB2312" w:eastAsia="方正仿宋_GB2312" w:cs="方正仿宋_GB2312"/>
          <w:b/>
          <w:bCs w:val="0"/>
          <w:color w:val="auto"/>
          <w:sz w:val="24"/>
          <w:szCs w:val="24"/>
          <w:highlight w:val="none"/>
        </w:rPr>
        <w:t>六、确定成交及签订合同</w:t>
      </w:r>
    </w:p>
    <w:p w14:paraId="0629D92E">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2</w:t>
      </w:r>
      <w:r>
        <w:rPr>
          <w:rFonts w:hint="eastAsia" w:ascii="方正仿宋_GB2312" w:hAnsi="方正仿宋_GB2312" w:eastAsia="方正仿宋_GB2312" w:cs="方正仿宋_GB2312"/>
          <w:bCs/>
          <w:color w:val="auto"/>
          <w:sz w:val="24"/>
          <w:szCs w:val="24"/>
          <w:highlight w:val="none"/>
          <w:lang w:val="en-US" w:eastAsia="zh-CN"/>
        </w:rPr>
        <w:t>6</w:t>
      </w:r>
      <w:r>
        <w:rPr>
          <w:rFonts w:hint="eastAsia" w:ascii="方正仿宋_GB2312" w:hAnsi="方正仿宋_GB2312" w:eastAsia="方正仿宋_GB2312" w:cs="方正仿宋_GB2312"/>
          <w:bCs/>
          <w:color w:val="auto"/>
          <w:sz w:val="24"/>
          <w:szCs w:val="24"/>
          <w:highlight w:val="none"/>
        </w:rPr>
        <w:t>.确定成交供应商</w:t>
      </w:r>
    </w:p>
    <w:p w14:paraId="54D385B3">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6</w:t>
      </w:r>
      <w:r>
        <w:rPr>
          <w:rFonts w:hint="eastAsia" w:ascii="方正仿宋_GB2312" w:hAnsi="方正仿宋_GB2312" w:eastAsia="方正仿宋_GB2312" w:cs="方正仿宋_GB2312"/>
          <w:color w:val="auto"/>
          <w:sz w:val="24"/>
          <w:szCs w:val="24"/>
          <w:highlight w:val="none"/>
        </w:rPr>
        <w:t>.1磋商小组对实质上响应磋商文件要求的参加磋商的供应商进行综合评审，最终按综合评审得分由高到低的顺序推荐出3名成交候选供应商。</w:t>
      </w:r>
    </w:p>
    <w:p w14:paraId="1907CF28">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6</w:t>
      </w:r>
      <w:r>
        <w:rPr>
          <w:rFonts w:hint="eastAsia" w:ascii="方正仿宋_GB2312" w:hAnsi="方正仿宋_GB2312" w:eastAsia="方正仿宋_GB2312" w:cs="方正仿宋_GB2312"/>
          <w:color w:val="auto"/>
          <w:sz w:val="24"/>
          <w:szCs w:val="24"/>
          <w:highlight w:val="none"/>
        </w:rPr>
        <w:t>.2成交结果将在</w:t>
      </w:r>
      <w:r>
        <w:rPr>
          <w:rFonts w:hint="eastAsia" w:ascii="方正仿宋_GB2312" w:hAnsi="方正仿宋_GB2312" w:eastAsia="方正仿宋_GB2312" w:cs="方正仿宋_GB2312"/>
          <w:color w:val="auto"/>
          <w:sz w:val="24"/>
          <w:szCs w:val="24"/>
          <w:highlight w:val="none"/>
          <w:lang w:eastAsia="zh-CN"/>
        </w:rPr>
        <w:t>江苏省政府采购网、淮安市政府采购网、淮安市公共资源交易中心</w:t>
      </w:r>
      <w:r>
        <w:rPr>
          <w:rFonts w:hint="eastAsia" w:ascii="方正仿宋_GB2312" w:hAnsi="方正仿宋_GB2312" w:eastAsia="方正仿宋_GB2312" w:cs="方正仿宋_GB2312"/>
          <w:color w:val="auto"/>
          <w:sz w:val="24"/>
          <w:szCs w:val="24"/>
          <w:highlight w:val="none"/>
        </w:rPr>
        <w:t>官网进行公告。</w:t>
      </w:r>
    </w:p>
    <w:p w14:paraId="4815F969">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6</w:t>
      </w:r>
      <w:r>
        <w:rPr>
          <w:rFonts w:hint="eastAsia" w:ascii="方正仿宋_GB2312" w:hAnsi="方正仿宋_GB2312" w:eastAsia="方正仿宋_GB2312" w:cs="方正仿宋_GB2312"/>
          <w:color w:val="auto"/>
          <w:sz w:val="24"/>
          <w:szCs w:val="24"/>
          <w:highlight w:val="none"/>
        </w:rPr>
        <w:t>.3采购人将从磋商小组推荐的符合采购需求的成交候选供应商中按排名先后确定成交供应商。</w:t>
      </w:r>
    </w:p>
    <w:p w14:paraId="6D4E30D1">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6</w:t>
      </w:r>
      <w:r>
        <w:rPr>
          <w:rFonts w:hint="eastAsia" w:ascii="方正仿宋_GB2312" w:hAnsi="方正仿宋_GB2312" w:eastAsia="方正仿宋_GB2312" w:cs="方正仿宋_GB2312"/>
          <w:color w:val="auto"/>
          <w:sz w:val="24"/>
          <w:szCs w:val="24"/>
          <w:highlight w:val="none"/>
        </w:rPr>
        <w:t>.4成交候选人在合同签订前，如经查实从参加该成交项目之日起计算所参加的政府采购活动前三年内，在经营活动中有行贿犯罪记录的，采购人（代理机构）将取消其成交候选人资格。</w:t>
      </w:r>
    </w:p>
    <w:p w14:paraId="433BD393">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2</w:t>
      </w:r>
      <w:r>
        <w:rPr>
          <w:rFonts w:hint="eastAsia" w:ascii="方正仿宋_GB2312" w:hAnsi="方正仿宋_GB2312" w:eastAsia="方正仿宋_GB2312" w:cs="方正仿宋_GB2312"/>
          <w:bCs/>
          <w:color w:val="auto"/>
          <w:sz w:val="24"/>
          <w:szCs w:val="24"/>
          <w:highlight w:val="none"/>
          <w:lang w:val="en-US" w:eastAsia="zh-CN"/>
        </w:rPr>
        <w:t>7</w:t>
      </w:r>
      <w:r>
        <w:rPr>
          <w:rFonts w:hint="eastAsia" w:ascii="方正仿宋_GB2312" w:hAnsi="方正仿宋_GB2312" w:eastAsia="方正仿宋_GB2312" w:cs="方正仿宋_GB2312"/>
          <w:bCs/>
          <w:color w:val="auto"/>
          <w:sz w:val="24"/>
          <w:szCs w:val="24"/>
          <w:highlight w:val="none"/>
        </w:rPr>
        <w:t>.成交通知书</w:t>
      </w:r>
    </w:p>
    <w:p w14:paraId="0211C7D5">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7</w:t>
      </w:r>
      <w:r>
        <w:rPr>
          <w:rFonts w:hint="eastAsia" w:ascii="方正仿宋_GB2312" w:hAnsi="方正仿宋_GB2312" w:eastAsia="方正仿宋_GB2312" w:cs="方正仿宋_GB2312"/>
          <w:color w:val="auto"/>
          <w:sz w:val="24"/>
          <w:szCs w:val="24"/>
          <w:highlight w:val="none"/>
        </w:rPr>
        <w:t>.1成交结果公示结束且在无疑义情况下，采购人（代理机构）将通知成交供应商。</w:t>
      </w:r>
    </w:p>
    <w:p w14:paraId="4754BD71">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7</w:t>
      </w:r>
      <w:r>
        <w:rPr>
          <w:rFonts w:hint="eastAsia" w:ascii="方正仿宋_GB2312" w:hAnsi="方正仿宋_GB2312" w:eastAsia="方正仿宋_GB2312" w:cs="方正仿宋_GB2312"/>
          <w:color w:val="auto"/>
          <w:sz w:val="24"/>
          <w:szCs w:val="24"/>
          <w:highlight w:val="none"/>
        </w:rPr>
        <w:t>.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方正仿宋_GB2312" w:hAnsi="方正仿宋_GB2312" w:eastAsia="方正仿宋_GB2312" w:cs="方正仿宋_GB2312"/>
          <w:color w:val="auto"/>
          <w:sz w:val="24"/>
          <w:szCs w:val="24"/>
          <w:highlight w:val="none"/>
          <w:lang w:val="en-US" w:eastAsia="zh-CN"/>
        </w:rPr>
        <w:t>两</w:t>
      </w:r>
      <w:r>
        <w:rPr>
          <w:rFonts w:hint="eastAsia" w:ascii="方正仿宋_GB2312" w:hAnsi="方正仿宋_GB2312" w:eastAsia="方正仿宋_GB2312" w:cs="方正仿宋_GB2312"/>
          <w:color w:val="auto"/>
          <w:sz w:val="24"/>
          <w:szCs w:val="24"/>
          <w:highlight w:val="none"/>
        </w:rPr>
        <w:t>份。</w:t>
      </w:r>
    </w:p>
    <w:p w14:paraId="40E13AAD">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2C0AA75A">
      <w:pPr>
        <w:keepNext w:val="0"/>
        <w:keepLines w:val="0"/>
        <w:pageBreakBefore w:val="0"/>
        <w:widowControl w:val="0"/>
        <w:tabs>
          <w:tab w:val="left" w:pos="9354"/>
        </w:tabs>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7</w:t>
      </w: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3</w:t>
      </w:r>
      <w:r>
        <w:rPr>
          <w:rFonts w:hint="eastAsia" w:ascii="方正仿宋_GB2312" w:hAnsi="方正仿宋_GB2312" w:eastAsia="方正仿宋_GB2312" w:cs="方正仿宋_GB2312"/>
          <w:color w:val="auto"/>
          <w:sz w:val="24"/>
          <w:szCs w:val="24"/>
          <w:highlight w:val="none"/>
        </w:rPr>
        <w:t>成交通知书对采购人及成交供应商同时均</w:t>
      </w:r>
      <w:r>
        <w:rPr>
          <w:rFonts w:hint="eastAsia" w:ascii="方正仿宋_GB2312" w:hAnsi="方正仿宋_GB2312" w:eastAsia="方正仿宋_GB2312" w:cs="方正仿宋_GB2312"/>
          <w:color w:val="auto"/>
          <w:sz w:val="24"/>
          <w:szCs w:val="24"/>
          <w:highlight w:val="none"/>
          <w:lang w:eastAsia="zh-CN"/>
        </w:rPr>
        <w:t>具有</w:t>
      </w:r>
      <w:r>
        <w:rPr>
          <w:rFonts w:hint="eastAsia" w:ascii="方正仿宋_GB2312" w:hAnsi="方正仿宋_GB2312" w:eastAsia="方正仿宋_GB2312" w:cs="方正仿宋_GB2312"/>
          <w:color w:val="auto"/>
          <w:sz w:val="24"/>
          <w:szCs w:val="24"/>
          <w:highlight w:val="none"/>
        </w:rPr>
        <w:t>法律效力。</w:t>
      </w:r>
    </w:p>
    <w:p w14:paraId="56B37454">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27.4履约保证金（成交价的1%）</w:t>
      </w:r>
    </w:p>
    <w:p w14:paraId="493D5D45">
      <w:pPr>
        <w:keepNext w:val="0"/>
        <w:keepLines w:val="0"/>
        <w:pageBreakBefore w:val="0"/>
        <w:widowControl w:val="0"/>
        <w:tabs>
          <w:tab w:val="left" w:pos="9354"/>
        </w:tabs>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27.4.1合同签订前</w:t>
      </w:r>
      <w:r>
        <w:rPr>
          <w:rFonts w:hint="eastAsia" w:ascii="方正仿宋_GB2312" w:hAnsi="方正仿宋_GB2312" w:eastAsia="方正仿宋_GB2312" w:cs="方正仿宋_GB2312"/>
          <w:color w:val="auto"/>
          <w:sz w:val="24"/>
          <w:szCs w:val="24"/>
          <w:highlight w:val="none"/>
        </w:rPr>
        <w:t>乙方</w:t>
      </w:r>
      <w:r>
        <w:rPr>
          <w:rFonts w:hint="eastAsia" w:ascii="方正仿宋_GB2312" w:hAnsi="方正仿宋_GB2312" w:eastAsia="方正仿宋_GB2312" w:cs="方正仿宋_GB2312"/>
          <w:color w:val="auto"/>
          <w:sz w:val="24"/>
          <w:szCs w:val="24"/>
          <w:highlight w:val="none"/>
          <w:lang w:val="en-US" w:eastAsia="zh-CN"/>
        </w:rPr>
        <w:t>向甲方缴纳合同价的1%为</w:t>
      </w:r>
      <w:r>
        <w:rPr>
          <w:rFonts w:hint="eastAsia" w:ascii="方正仿宋_GB2312" w:hAnsi="方正仿宋_GB2312" w:eastAsia="方正仿宋_GB2312" w:cs="方正仿宋_GB2312"/>
          <w:color w:val="auto"/>
          <w:sz w:val="24"/>
          <w:szCs w:val="24"/>
          <w:highlight w:val="none"/>
        </w:rPr>
        <w:t>本合同的履约保证金。</w:t>
      </w:r>
      <w:r>
        <w:rPr>
          <w:rFonts w:hint="eastAsia" w:ascii="方正仿宋_GB2312" w:hAnsi="方正仿宋_GB2312" w:eastAsia="方正仿宋_GB2312" w:cs="方正仿宋_GB2312"/>
          <w:color w:val="auto"/>
          <w:sz w:val="24"/>
          <w:szCs w:val="24"/>
          <w:highlight w:val="none"/>
          <w:lang w:val="en-US" w:eastAsia="zh-CN"/>
        </w:rPr>
        <w:t xml:space="preserve"> </w:t>
      </w:r>
    </w:p>
    <w:p w14:paraId="629D0473">
      <w:pPr>
        <w:keepNext w:val="0"/>
        <w:keepLines w:val="0"/>
        <w:pageBreakBefore w:val="0"/>
        <w:widowControl w:val="0"/>
        <w:tabs>
          <w:tab w:val="left" w:pos="9354"/>
        </w:tabs>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27.4.2</w:t>
      </w:r>
      <w:r>
        <w:rPr>
          <w:rFonts w:hint="eastAsia" w:ascii="方正仿宋_GB2312" w:hAnsi="方正仿宋_GB2312" w:eastAsia="方正仿宋_GB2312" w:cs="方正仿宋_GB2312"/>
          <w:color w:val="auto"/>
          <w:sz w:val="24"/>
          <w:szCs w:val="24"/>
          <w:highlight w:val="none"/>
        </w:rPr>
        <w:t>乙方提供的履约保证金可以是人民币形式（银行本票、汇票、支票、电汇），或银行保函、担保公司的保证担保或保险公司的保证保险等多种形式。</w:t>
      </w:r>
    </w:p>
    <w:p w14:paraId="264826E1">
      <w:pPr>
        <w:keepNext w:val="0"/>
        <w:keepLines w:val="0"/>
        <w:pageBreakBefore w:val="0"/>
        <w:widowControl w:val="0"/>
        <w:tabs>
          <w:tab w:val="left" w:pos="9354"/>
        </w:tabs>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27.4.3</w:t>
      </w:r>
      <w:r>
        <w:rPr>
          <w:rFonts w:hint="eastAsia" w:ascii="方正仿宋_GB2312" w:hAnsi="方正仿宋_GB2312" w:eastAsia="方正仿宋_GB2312" w:cs="方正仿宋_GB2312"/>
          <w:color w:val="auto"/>
          <w:sz w:val="24"/>
          <w:szCs w:val="24"/>
          <w:highlight w:val="none"/>
        </w:rPr>
        <w:t>乙方选取银行保函、担保公司的保证担保或保险公司的保证保险等</w:t>
      </w:r>
      <w:r>
        <w:rPr>
          <w:rFonts w:hint="eastAsia" w:ascii="方正仿宋_GB2312" w:hAnsi="方正仿宋_GB2312" w:eastAsia="方正仿宋_GB2312" w:cs="方正仿宋_GB2312"/>
          <w:color w:val="auto"/>
          <w:sz w:val="24"/>
          <w:szCs w:val="24"/>
          <w:highlight w:val="none"/>
          <w:lang w:eastAsia="zh-CN"/>
        </w:rPr>
        <w:t>形式</w:t>
      </w:r>
      <w:r>
        <w:rPr>
          <w:rFonts w:hint="eastAsia" w:ascii="方正仿宋_GB2312" w:hAnsi="方正仿宋_GB2312" w:eastAsia="方正仿宋_GB2312" w:cs="方正仿宋_GB2312"/>
          <w:color w:val="auto"/>
          <w:sz w:val="24"/>
          <w:szCs w:val="24"/>
          <w:highlight w:val="none"/>
        </w:rPr>
        <w:t>向采购人缴纳的，如保函（担保、保险等）的约定期到期但乙方履约仍未结束的，乙方须进行续保。</w:t>
      </w:r>
    </w:p>
    <w:p w14:paraId="4125FC92">
      <w:pPr>
        <w:keepNext w:val="0"/>
        <w:keepLines w:val="0"/>
        <w:pageBreakBefore w:val="0"/>
        <w:widowControl w:val="0"/>
        <w:tabs>
          <w:tab w:val="left" w:pos="9354"/>
        </w:tabs>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27.4.4</w:t>
      </w:r>
      <w:r>
        <w:rPr>
          <w:rFonts w:hint="eastAsia" w:ascii="方正仿宋_GB2312" w:hAnsi="方正仿宋_GB2312" w:eastAsia="方正仿宋_GB2312" w:cs="方正仿宋_GB2312"/>
          <w:color w:val="auto"/>
          <w:sz w:val="24"/>
          <w:szCs w:val="24"/>
          <w:highlight w:val="none"/>
        </w:rPr>
        <w:t>乙方选取以履约保函（保险）形式向采购人缴纳的，按照《关于在全省政府采购领域推行电子履约保函（保险）的通知》（苏财购</w:t>
      </w:r>
      <w:r>
        <w:rPr>
          <w:rFonts w:hint="eastAsia" w:ascii="方正仿宋_GB2312" w:hAnsi="方正仿宋_GB2312" w:eastAsia="方正仿宋_GB2312" w:cs="方正仿宋_GB2312"/>
          <w:color w:val="auto"/>
          <w:sz w:val="24"/>
          <w:szCs w:val="24"/>
          <w:highlight w:val="none"/>
          <w:lang w:eastAsia="zh-CN"/>
        </w:rPr>
        <w:t>〔2023〕150号</w:t>
      </w:r>
      <w:r>
        <w:rPr>
          <w:rFonts w:hint="eastAsia" w:ascii="方正仿宋_GB2312" w:hAnsi="方正仿宋_GB2312" w:eastAsia="方正仿宋_GB2312" w:cs="方正仿宋_GB2312"/>
          <w:color w:val="auto"/>
          <w:sz w:val="24"/>
          <w:szCs w:val="24"/>
          <w:highlight w:val="none"/>
        </w:rPr>
        <w:t>）的要求，登录“政府采购电子履约保函（保险）平台”，选择第三方机构并提交保函（保险）申请，经审核通过后支付相关费用。</w:t>
      </w:r>
    </w:p>
    <w:p w14:paraId="399C52F8">
      <w:pPr>
        <w:keepNext w:val="0"/>
        <w:keepLines w:val="0"/>
        <w:pageBreakBefore w:val="0"/>
        <w:widowControl w:val="0"/>
        <w:tabs>
          <w:tab w:val="left" w:pos="9354"/>
        </w:tabs>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24.4.5</w:t>
      </w:r>
      <w:r>
        <w:rPr>
          <w:rFonts w:hint="eastAsia" w:ascii="方正仿宋_GB2312" w:hAnsi="方正仿宋_GB2312" w:eastAsia="方正仿宋_GB2312" w:cs="方正仿宋_GB2312"/>
          <w:color w:val="auto"/>
          <w:sz w:val="24"/>
          <w:szCs w:val="24"/>
          <w:highlight w:val="none"/>
        </w:rPr>
        <w:t>如乙方未能履行合同规定的义务，甲方有权从履约保证金中取得补偿。</w:t>
      </w:r>
    </w:p>
    <w:p w14:paraId="164CF6B1">
      <w:pPr>
        <w:keepNext w:val="0"/>
        <w:keepLines w:val="0"/>
        <w:pageBreakBefore w:val="0"/>
        <w:widowControl w:val="0"/>
        <w:tabs>
          <w:tab w:val="left" w:pos="9354"/>
        </w:tabs>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27.4.6</w:t>
      </w:r>
      <w:r>
        <w:rPr>
          <w:rFonts w:hint="eastAsia" w:ascii="方正仿宋_GB2312" w:hAnsi="方正仿宋_GB2312" w:eastAsia="方正仿宋_GB2312" w:cs="方正仿宋_GB2312"/>
          <w:color w:val="auto"/>
          <w:sz w:val="24"/>
          <w:szCs w:val="24"/>
          <w:highlight w:val="none"/>
        </w:rPr>
        <w:t>履约保证金在合同约定期间内不予退还或者应完全有效</w:t>
      </w:r>
      <w:r>
        <w:rPr>
          <w:rFonts w:hint="eastAsia" w:ascii="方正仿宋_GB2312" w:hAnsi="方正仿宋_GB2312" w:eastAsia="方正仿宋_GB2312" w:cs="方正仿宋_GB2312"/>
          <w:color w:val="auto"/>
          <w:sz w:val="24"/>
          <w:szCs w:val="24"/>
          <w:highlight w:val="none"/>
          <w:lang w:eastAsia="zh-CN"/>
        </w:rPr>
        <w:t>，在</w:t>
      </w:r>
      <w:r>
        <w:rPr>
          <w:rFonts w:hint="eastAsia" w:ascii="方正仿宋_GB2312" w:hAnsi="方正仿宋_GB2312" w:eastAsia="方正仿宋_GB2312" w:cs="方正仿宋_GB2312"/>
          <w:color w:val="auto"/>
          <w:sz w:val="24"/>
          <w:szCs w:val="24"/>
          <w:highlight w:val="none"/>
        </w:rPr>
        <w:t>约定期间届满之日起 5个工作日内，甲方应将履约保证金退还乙方；逾期退还的，按中国人民银行同期贷款</w:t>
      </w:r>
      <w:r>
        <w:rPr>
          <w:rFonts w:hint="eastAsia" w:ascii="方正仿宋_GB2312" w:hAnsi="方正仿宋_GB2312" w:eastAsia="方正仿宋_GB2312" w:cs="方正仿宋_GB2312"/>
          <w:color w:val="auto"/>
          <w:sz w:val="24"/>
          <w:szCs w:val="24"/>
          <w:highlight w:val="none"/>
          <w:lang w:eastAsia="zh-CN"/>
        </w:rPr>
        <w:t>基准利率</w:t>
      </w:r>
      <w:r>
        <w:rPr>
          <w:rFonts w:hint="eastAsia" w:ascii="方正仿宋_GB2312" w:hAnsi="方正仿宋_GB2312" w:eastAsia="方正仿宋_GB2312" w:cs="方正仿宋_GB2312"/>
          <w:color w:val="auto"/>
          <w:sz w:val="24"/>
          <w:szCs w:val="24"/>
          <w:highlight w:val="none"/>
        </w:rPr>
        <w:t>上浮20%后的利率支付超期资金占用费，但因乙方自身原因导致无法及时退还的除外。</w:t>
      </w:r>
      <w:r>
        <w:rPr>
          <w:rFonts w:hint="eastAsia" w:ascii="方正仿宋_GB2312" w:hAnsi="方正仿宋_GB2312" w:eastAsia="方正仿宋_GB2312" w:cs="方正仿宋_GB2312"/>
          <w:color w:val="auto"/>
          <w:sz w:val="24"/>
          <w:szCs w:val="24"/>
          <w:highlight w:val="none"/>
        </w:rPr>
        <w:br w:type="textWrapping"/>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lang w:val="en-US" w:eastAsia="zh-CN"/>
        </w:rPr>
        <w:t>27.4.7</w:t>
      </w:r>
      <w:r>
        <w:rPr>
          <w:rFonts w:hint="eastAsia" w:ascii="方正仿宋_GB2312" w:hAnsi="方正仿宋_GB2312" w:eastAsia="方正仿宋_GB2312" w:cs="方正仿宋_GB2312"/>
          <w:color w:val="auto"/>
          <w:sz w:val="24"/>
          <w:szCs w:val="24"/>
          <w:highlight w:val="none"/>
        </w:rPr>
        <w:t>履约保证金在合同约定期间内不予退还</w:t>
      </w:r>
      <w:r>
        <w:rPr>
          <w:rFonts w:hint="eastAsia" w:ascii="方正仿宋_GB2312" w:hAnsi="方正仿宋_GB2312" w:eastAsia="方正仿宋_GB2312" w:cs="方正仿宋_GB2312"/>
          <w:color w:val="auto"/>
          <w:sz w:val="24"/>
          <w:szCs w:val="24"/>
          <w:highlight w:val="none"/>
          <w:lang w:eastAsia="zh-CN"/>
        </w:rPr>
        <w:t>或者</w:t>
      </w:r>
      <w:r>
        <w:rPr>
          <w:rFonts w:hint="eastAsia" w:ascii="方正仿宋_GB2312" w:hAnsi="方正仿宋_GB2312" w:eastAsia="方正仿宋_GB2312" w:cs="方正仿宋_GB2312"/>
          <w:color w:val="auto"/>
          <w:sz w:val="24"/>
          <w:szCs w:val="24"/>
          <w:highlight w:val="none"/>
        </w:rPr>
        <w:t>完全有效，履约保证金在项目验收合格后无息退还给乙方。</w:t>
      </w:r>
    </w:p>
    <w:p w14:paraId="038B0D81">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2</w:t>
      </w:r>
      <w:r>
        <w:rPr>
          <w:rFonts w:hint="eastAsia" w:ascii="方正仿宋_GB2312" w:hAnsi="方正仿宋_GB2312" w:eastAsia="方正仿宋_GB2312" w:cs="方正仿宋_GB2312"/>
          <w:bCs/>
          <w:color w:val="auto"/>
          <w:sz w:val="24"/>
          <w:szCs w:val="24"/>
          <w:highlight w:val="none"/>
          <w:lang w:val="en-US" w:eastAsia="zh-CN"/>
        </w:rPr>
        <w:t>8</w:t>
      </w:r>
      <w:r>
        <w:rPr>
          <w:rFonts w:hint="eastAsia" w:ascii="方正仿宋_GB2312" w:hAnsi="方正仿宋_GB2312" w:eastAsia="方正仿宋_GB2312" w:cs="方正仿宋_GB2312"/>
          <w:bCs/>
          <w:color w:val="auto"/>
          <w:sz w:val="24"/>
          <w:szCs w:val="24"/>
          <w:highlight w:val="none"/>
        </w:rPr>
        <w:t>签订合同</w:t>
      </w:r>
    </w:p>
    <w:p w14:paraId="28A428A5">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8</w:t>
      </w:r>
      <w:r>
        <w:rPr>
          <w:rFonts w:hint="eastAsia" w:ascii="方正仿宋_GB2312" w:hAnsi="方正仿宋_GB2312" w:eastAsia="方正仿宋_GB2312" w:cs="方正仿宋_GB2312"/>
          <w:color w:val="auto"/>
          <w:sz w:val="24"/>
          <w:szCs w:val="24"/>
          <w:highlight w:val="none"/>
        </w:rPr>
        <w:t>.1采购人与成交供应商应在成交通知书发出之日起</w:t>
      </w:r>
      <w:r>
        <w:rPr>
          <w:rFonts w:hint="eastAsia" w:ascii="方正仿宋_GB2312" w:hAnsi="方正仿宋_GB2312" w:eastAsia="方正仿宋_GB2312" w:cs="方正仿宋_GB2312"/>
          <w:color w:val="auto"/>
          <w:sz w:val="24"/>
          <w:szCs w:val="24"/>
          <w:highlight w:val="none"/>
          <w:lang w:val="en-US" w:eastAsia="zh-CN"/>
        </w:rPr>
        <w:t>十五</w:t>
      </w:r>
      <w:r>
        <w:rPr>
          <w:rFonts w:hint="eastAsia" w:ascii="方正仿宋_GB2312" w:hAnsi="方正仿宋_GB2312" w:eastAsia="方正仿宋_GB2312" w:cs="方正仿宋_GB2312"/>
          <w:color w:val="auto"/>
          <w:sz w:val="24"/>
          <w:szCs w:val="24"/>
          <w:highlight w:val="none"/>
        </w:rPr>
        <w:t>日内签订政府采购合同。磋商文件、成交供应商的响应文件及澄清文件等均为签订合同依据。</w:t>
      </w:r>
    </w:p>
    <w:p w14:paraId="168E8390">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8</w:t>
      </w:r>
      <w:r>
        <w:rPr>
          <w:rFonts w:hint="eastAsia" w:ascii="方正仿宋_GB2312" w:hAnsi="方正仿宋_GB2312" w:eastAsia="方正仿宋_GB2312" w:cs="方正仿宋_GB2312"/>
          <w:color w:val="auto"/>
          <w:sz w:val="24"/>
          <w:szCs w:val="24"/>
          <w:highlight w:val="none"/>
        </w:rPr>
        <w:t>.2成交供应商自成交通知书发出之日起</w:t>
      </w:r>
      <w:r>
        <w:rPr>
          <w:rFonts w:hint="eastAsia" w:ascii="方正仿宋_GB2312" w:hAnsi="方正仿宋_GB2312" w:eastAsia="方正仿宋_GB2312" w:cs="方正仿宋_GB2312"/>
          <w:bCs/>
          <w:color w:val="auto"/>
          <w:sz w:val="24"/>
          <w:szCs w:val="24"/>
          <w:highlight w:val="none"/>
          <w:lang w:val="en-US" w:eastAsia="zh-CN"/>
        </w:rPr>
        <w:t>十五</w:t>
      </w:r>
      <w:r>
        <w:rPr>
          <w:rFonts w:hint="eastAsia" w:ascii="方正仿宋_GB2312" w:hAnsi="方正仿宋_GB2312" w:eastAsia="方正仿宋_GB2312" w:cs="方正仿宋_GB2312"/>
          <w:bCs/>
          <w:color w:val="auto"/>
          <w:sz w:val="24"/>
          <w:szCs w:val="24"/>
          <w:highlight w:val="none"/>
        </w:rPr>
        <w:t>日</w:t>
      </w:r>
      <w:r>
        <w:rPr>
          <w:rFonts w:hint="eastAsia" w:ascii="方正仿宋_GB2312" w:hAnsi="方正仿宋_GB2312" w:eastAsia="方正仿宋_GB2312" w:cs="方正仿宋_GB2312"/>
          <w:color w:val="auto"/>
          <w:sz w:val="24"/>
          <w:szCs w:val="24"/>
          <w:highlight w:val="none"/>
        </w:rPr>
        <w:t>内无正当理由不与采购人签订合同，将按规定进行处理。</w:t>
      </w:r>
    </w:p>
    <w:p w14:paraId="52F57873">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28.</w:t>
      </w:r>
      <w:r>
        <w:rPr>
          <w:rFonts w:hint="eastAsia" w:ascii="方正仿宋_GB2312" w:hAnsi="方正仿宋_GB2312" w:eastAsia="方正仿宋_GB2312" w:cs="方正仿宋_GB2312"/>
          <w:color w:val="auto"/>
          <w:sz w:val="24"/>
          <w:szCs w:val="24"/>
          <w:highlight w:val="none"/>
          <w:lang w:val="en-US" w:eastAsia="zh-CN"/>
        </w:rPr>
        <w:t>3</w:t>
      </w:r>
      <w:r>
        <w:rPr>
          <w:rFonts w:hint="eastAsia" w:ascii="方正仿宋_GB2312" w:hAnsi="方正仿宋_GB2312" w:eastAsia="方正仿宋_GB2312" w:cs="方正仿宋_GB2312"/>
          <w:color w:val="auto"/>
          <w:sz w:val="24"/>
          <w:szCs w:val="24"/>
          <w:highlight w:val="none"/>
        </w:rPr>
        <w:t>如果成交供应商没有按照2</w:t>
      </w:r>
      <w:r>
        <w:rPr>
          <w:rFonts w:hint="eastAsia" w:ascii="方正仿宋_GB2312" w:hAnsi="方正仿宋_GB2312" w:eastAsia="方正仿宋_GB2312" w:cs="方正仿宋_GB2312"/>
          <w:color w:val="auto"/>
          <w:sz w:val="24"/>
          <w:szCs w:val="24"/>
          <w:highlight w:val="none"/>
          <w:lang w:val="en-US" w:eastAsia="zh-CN"/>
        </w:rPr>
        <w:t>7</w:t>
      </w:r>
      <w:r>
        <w:rPr>
          <w:rFonts w:hint="eastAsia" w:ascii="方正仿宋_GB2312" w:hAnsi="方正仿宋_GB2312" w:eastAsia="方正仿宋_GB2312" w:cs="方正仿宋_GB2312"/>
          <w:color w:val="auto"/>
          <w:sz w:val="24"/>
          <w:szCs w:val="24"/>
          <w:highlight w:val="none"/>
        </w:rPr>
        <w:t>条或</w:t>
      </w:r>
      <w:r>
        <w:rPr>
          <w:rFonts w:hint="eastAsia" w:ascii="方正仿宋_GB2312" w:hAnsi="方正仿宋_GB2312" w:eastAsia="方正仿宋_GB2312" w:cs="方正仿宋_GB2312"/>
          <w:color w:val="auto"/>
          <w:sz w:val="24"/>
          <w:szCs w:val="24"/>
          <w:highlight w:val="none"/>
          <w:lang w:val="en-US" w:eastAsia="zh-CN"/>
        </w:rPr>
        <w:t>28</w:t>
      </w:r>
      <w:r>
        <w:rPr>
          <w:rFonts w:hint="eastAsia" w:ascii="方正仿宋_GB2312" w:hAnsi="方正仿宋_GB2312" w:eastAsia="方正仿宋_GB2312" w:cs="方正仿宋_GB2312"/>
          <w:color w:val="auto"/>
          <w:sz w:val="24"/>
          <w:szCs w:val="24"/>
          <w:highlight w:val="none"/>
        </w:rPr>
        <w:t>条的规定去做，采购人</w:t>
      </w:r>
      <w:r>
        <w:rPr>
          <w:rFonts w:hint="eastAsia" w:ascii="方正仿宋_GB2312" w:hAnsi="方正仿宋_GB2312" w:eastAsia="方正仿宋_GB2312" w:cs="方正仿宋_GB2312"/>
          <w:color w:val="auto"/>
          <w:sz w:val="24"/>
          <w:szCs w:val="24"/>
          <w:highlight w:val="none"/>
          <w:lang w:eastAsia="zh-CN"/>
        </w:rPr>
        <w:t>可以</w:t>
      </w:r>
      <w:r>
        <w:rPr>
          <w:rFonts w:hint="eastAsia" w:ascii="方正仿宋_GB2312" w:hAnsi="方正仿宋_GB2312" w:eastAsia="方正仿宋_GB2312" w:cs="方正仿宋_GB2312"/>
          <w:color w:val="auto"/>
          <w:sz w:val="24"/>
          <w:szCs w:val="24"/>
          <w:highlight w:val="none"/>
        </w:rPr>
        <w:t>报财政部门取消其成交资格，在此情况下采购人可将标授予下一个成交候选供应商，或重新采购。</w:t>
      </w:r>
    </w:p>
    <w:p w14:paraId="2ED8A181">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29.</w:t>
      </w:r>
      <w:r>
        <w:rPr>
          <w:rFonts w:hint="eastAsia" w:ascii="方正仿宋_GB2312" w:hAnsi="方正仿宋_GB2312" w:eastAsia="方正仿宋_GB2312" w:cs="方正仿宋_GB2312"/>
          <w:color w:val="auto"/>
          <w:sz w:val="24"/>
          <w:szCs w:val="24"/>
          <w:highlight w:val="none"/>
        </w:rPr>
        <w:t>标的物的追加</w:t>
      </w:r>
    </w:p>
    <w:p w14:paraId="4CC275A1">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29</w:t>
      </w:r>
      <w:r>
        <w:rPr>
          <w:rFonts w:hint="eastAsia" w:ascii="方正仿宋_GB2312" w:hAnsi="方正仿宋_GB2312" w:eastAsia="方正仿宋_GB2312" w:cs="方正仿宋_GB2312"/>
          <w:color w:val="auto"/>
          <w:sz w:val="24"/>
          <w:szCs w:val="24"/>
          <w:highlight w:val="none"/>
        </w:rPr>
        <w:t>.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方正仿宋_GB2312" w:hAnsi="方正仿宋_GB2312" w:eastAsia="方正仿宋_GB2312" w:cs="方正仿宋_GB2312"/>
          <w:color w:val="auto"/>
          <w:sz w:val="24"/>
          <w:szCs w:val="24"/>
          <w:highlight w:val="none"/>
          <w:lang w:eastAsia="zh-CN"/>
        </w:rPr>
        <w:t>额的</w:t>
      </w:r>
      <w:r>
        <w:rPr>
          <w:rFonts w:hint="eastAsia" w:ascii="方正仿宋_GB2312" w:hAnsi="方正仿宋_GB2312" w:eastAsia="方正仿宋_GB2312" w:cs="方正仿宋_GB2312"/>
          <w:color w:val="auto"/>
          <w:sz w:val="24"/>
          <w:szCs w:val="24"/>
          <w:highlight w:val="none"/>
        </w:rPr>
        <w:t>10%。</w:t>
      </w:r>
    </w:p>
    <w:p w14:paraId="3FBA57BF">
      <w:pPr>
        <w:keepNext w:val="0"/>
        <w:keepLines w:val="0"/>
        <w:pageBreakBefore w:val="0"/>
        <w:widowControl w:val="0"/>
        <w:kinsoku/>
        <w:wordWrap/>
        <w:overflowPunct/>
        <w:topLinePunct w:val="0"/>
        <w:autoSpaceDE/>
        <w:autoSpaceDN/>
        <w:bidi w:val="0"/>
        <w:spacing w:line="380" w:lineRule="exact"/>
        <w:ind w:firstLine="480"/>
        <w:jc w:val="left"/>
        <w:textAlignment w:val="auto"/>
        <w:outlineLvl w:val="1"/>
        <w:rPr>
          <w:rFonts w:hint="eastAsia" w:ascii="方正仿宋_GB2312" w:hAnsi="方正仿宋_GB2312" w:eastAsia="方正仿宋_GB2312" w:cs="方正仿宋_GB2312"/>
          <w:b/>
          <w:bCs w:val="0"/>
          <w:color w:val="auto"/>
          <w:sz w:val="24"/>
          <w:szCs w:val="24"/>
          <w:highlight w:val="none"/>
        </w:rPr>
      </w:pPr>
      <w:r>
        <w:rPr>
          <w:rFonts w:hint="eastAsia" w:ascii="方正仿宋_GB2312" w:hAnsi="方正仿宋_GB2312" w:eastAsia="方正仿宋_GB2312" w:cs="方正仿宋_GB2312"/>
          <w:bCs/>
          <w:color w:val="auto"/>
          <w:sz w:val="24"/>
          <w:szCs w:val="24"/>
          <w:highlight w:val="none"/>
          <w:lang w:val="en-US" w:eastAsia="zh-CN"/>
        </w:rPr>
        <w:t xml:space="preserve"> </w:t>
      </w:r>
      <w:r>
        <w:rPr>
          <w:rFonts w:hint="eastAsia" w:ascii="方正仿宋_GB2312" w:hAnsi="方正仿宋_GB2312" w:eastAsia="方正仿宋_GB2312" w:cs="方正仿宋_GB2312"/>
          <w:b/>
          <w:bCs w:val="0"/>
          <w:color w:val="auto"/>
          <w:sz w:val="24"/>
          <w:szCs w:val="24"/>
          <w:highlight w:val="none"/>
        </w:rPr>
        <w:t>七、质疑处理</w:t>
      </w:r>
    </w:p>
    <w:p w14:paraId="34121E01">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3</w:t>
      </w:r>
      <w:r>
        <w:rPr>
          <w:rFonts w:hint="eastAsia" w:ascii="方正仿宋_GB2312" w:hAnsi="方正仿宋_GB2312" w:eastAsia="方正仿宋_GB2312" w:cs="方正仿宋_GB2312"/>
          <w:bCs/>
          <w:color w:val="auto"/>
          <w:sz w:val="24"/>
          <w:szCs w:val="24"/>
          <w:highlight w:val="none"/>
          <w:lang w:val="en-US" w:eastAsia="zh-CN"/>
        </w:rPr>
        <w:t>0</w:t>
      </w:r>
      <w:r>
        <w:rPr>
          <w:rFonts w:hint="eastAsia" w:ascii="方正仿宋_GB2312" w:hAnsi="方正仿宋_GB2312" w:eastAsia="方正仿宋_GB2312" w:cs="方正仿宋_GB2312"/>
          <w:bCs/>
          <w:color w:val="auto"/>
          <w:sz w:val="24"/>
          <w:szCs w:val="24"/>
          <w:highlight w:val="none"/>
        </w:rPr>
        <w:t>.质疑处理</w:t>
      </w:r>
    </w:p>
    <w:p w14:paraId="5A853483">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w:t>
      </w:r>
      <w:r>
        <w:rPr>
          <w:rFonts w:hint="eastAsia" w:ascii="方正仿宋_GB2312" w:hAnsi="方正仿宋_GB2312" w:eastAsia="方正仿宋_GB2312" w:cs="方正仿宋_GB2312"/>
          <w:color w:val="auto"/>
          <w:sz w:val="24"/>
          <w:szCs w:val="24"/>
          <w:highlight w:val="none"/>
          <w:lang w:val="en-US" w:eastAsia="zh-CN"/>
        </w:rPr>
        <w:t>0</w:t>
      </w:r>
      <w:r>
        <w:rPr>
          <w:rFonts w:hint="eastAsia" w:ascii="方正仿宋_GB2312" w:hAnsi="方正仿宋_GB2312" w:eastAsia="方正仿宋_GB2312" w:cs="方正仿宋_GB2312"/>
          <w:color w:val="auto"/>
          <w:sz w:val="24"/>
          <w:szCs w:val="24"/>
          <w:highlight w:val="none"/>
        </w:rPr>
        <w:t>.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p>
    <w:p w14:paraId="061FFDAE">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w:t>
      </w:r>
      <w:r>
        <w:rPr>
          <w:rFonts w:hint="eastAsia" w:ascii="方正仿宋_GB2312" w:hAnsi="方正仿宋_GB2312" w:eastAsia="方正仿宋_GB2312" w:cs="方正仿宋_GB2312"/>
          <w:color w:val="auto"/>
          <w:sz w:val="24"/>
          <w:szCs w:val="24"/>
          <w:highlight w:val="none"/>
          <w:lang w:val="en-US" w:eastAsia="zh-CN"/>
        </w:rPr>
        <w:t>0</w:t>
      </w:r>
      <w:r>
        <w:rPr>
          <w:rFonts w:hint="eastAsia" w:ascii="方正仿宋_GB2312" w:hAnsi="方正仿宋_GB2312" w:eastAsia="方正仿宋_GB2312" w:cs="方正仿宋_GB2312"/>
          <w:color w:val="auto"/>
          <w:sz w:val="24"/>
          <w:szCs w:val="24"/>
          <w:highlight w:val="none"/>
        </w:rPr>
        <w:t>.2上述应知其权益受到损害之日是指：</w:t>
      </w:r>
    </w:p>
    <w:p w14:paraId="5C854CF2">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（1）对磋商文件提出质疑的，为收到采购文件之日或者采购文件公告期限届满之日起计算；</w:t>
      </w:r>
    </w:p>
    <w:p w14:paraId="74B41AC5">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（2）对采购过程提出质疑的，为各采购程序环节结束之日起计算；</w:t>
      </w:r>
    </w:p>
    <w:p w14:paraId="2C0C145F">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（3）对成交结果提出质疑的，为成交结果公告期限届满之日起计算。</w:t>
      </w:r>
    </w:p>
    <w:p w14:paraId="37B65CF8">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w:t>
      </w:r>
      <w:r>
        <w:rPr>
          <w:rFonts w:hint="eastAsia" w:ascii="方正仿宋_GB2312" w:hAnsi="方正仿宋_GB2312" w:eastAsia="方正仿宋_GB2312" w:cs="方正仿宋_GB2312"/>
          <w:color w:val="auto"/>
          <w:sz w:val="24"/>
          <w:szCs w:val="24"/>
          <w:highlight w:val="none"/>
          <w:lang w:val="en-US" w:eastAsia="zh-CN"/>
        </w:rPr>
        <w:t>0</w:t>
      </w:r>
      <w:r>
        <w:rPr>
          <w:rFonts w:hint="eastAsia" w:ascii="方正仿宋_GB2312" w:hAnsi="方正仿宋_GB2312" w:eastAsia="方正仿宋_GB2312" w:cs="方正仿宋_GB2312"/>
          <w:color w:val="auto"/>
          <w:sz w:val="24"/>
          <w:szCs w:val="24"/>
          <w:highlight w:val="none"/>
        </w:rPr>
        <w:t>.3质疑供应商是指直接参加本次磋商活动的供应商</w:t>
      </w:r>
      <w:r>
        <w:rPr>
          <w:rFonts w:hint="eastAsia" w:ascii="方正仿宋_GB2312" w:hAnsi="方正仿宋_GB2312" w:eastAsia="方正仿宋_GB2312" w:cs="方正仿宋_GB2312"/>
          <w:color w:val="auto"/>
          <w:sz w:val="24"/>
          <w:szCs w:val="24"/>
          <w:highlight w:val="none"/>
          <w:lang w:eastAsia="zh-CN"/>
        </w:rPr>
        <w:t>，对</w:t>
      </w:r>
      <w:r>
        <w:rPr>
          <w:rFonts w:hint="eastAsia" w:ascii="方正仿宋_GB2312" w:hAnsi="方正仿宋_GB2312" w:eastAsia="方正仿宋_GB2312" w:cs="方正仿宋_GB2312"/>
          <w:color w:val="auto"/>
          <w:sz w:val="24"/>
          <w:szCs w:val="24"/>
          <w:highlight w:val="none"/>
        </w:rPr>
        <w:t>未参加磋商活动的供应商或在磋商活动中自身权益未受到损害的供应商所提出的质疑不予受理。</w:t>
      </w:r>
    </w:p>
    <w:p w14:paraId="2D5F1A8F">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w:t>
      </w:r>
      <w:r>
        <w:rPr>
          <w:rFonts w:hint="eastAsia" w:ascii="方正仿宋_GB2312" w:hAnsi="方正仿宋_GB2312" w:eastAsia="方正仿宋_GB2312" w:cs="方正仿宋_GB2312"/>
          <w:color w:val="auto"/>
          <w:sz w:val="24"/>
          <w:szCs w:val="24"/>
          <w:highlight w:val="none"/>
          <w:lang w:val="en-US" w:eastAsia="zh-CN"/>
        </w:rPr>
        <w:t>0</w:t>
      </w:r>
      <w:r>
        <w:rPr>
          <w:rFonts w:hint="eastAsia" w:ascii="方正仿宋_GB2312" w:hAnsi="方正仿宋_GB2312" w:eastAsia="方正仿宋_GB2312" w:cs="方正仿宋_GB2312"/>
          <w:color w:val="auto"/>
          <w:sz w:val="24"/>
          <w:szCs w:val="24"/>
          <w:highlight w:val="none"/>
        </w:rPr>
        <w:t>.4质疑供应商在法定质疑期内应当一次性提出针对同一采购环节</w:t>
      </w:r>
      <w:r>
        <w:rPr>
          <w:rFonts w:hint="eastAsia" w:ascii="方正仿宋_GB2312" w:hAnsi="方正仿宋_GB2312" w:eastAsia="方正仿宋_GB2312" w:cs="方正仿宋_GB2312"/>
          <w:color w:val="auto"/>
          <w:sz w:val="24"/>
          <w:szCs w:val="24"/>
          <w:highlight w:val="none"/>
          <w:lang w:eastAsia="zh-CN"/>
        </w:rPr>
        <w:t>质疑</w:t>
      </w:r>
      <w:r>
        <w:rPr>
          <w:rFonts w:hint="eastAsia" w:ascii="方正仿宋_GB2312" w:hAnsi="方正仿宋_GB2312" w:eastAsia="方正仿宋_GB2312" w:cs="方正仿宋_GB2312"/>
          <w:color w:val="auto"/>
          <w:sz w:val="24"/>
          <w:szCs w:val="24"/>
          <w:highlight w:val="none"/>
        </w:rPr>
        <w:t>。</w:t>
      </w:r>
    </w:p>
    <w:p w14:paraId="3CB24400">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w:t>
      </w:r>
      <w:r>
        <w:rPr>
          <w:rFonts w:hint="eastAsia" w:ascii="方正仿宋_GB2312" w:hAnsi="方正仿宋_GB2312" w:eastAsia="方正仿宋_GB2312" w:cs="方正仿宋_GB2312"/>
          <w:color w:val="auto"/>
          <w:sz w:val="24"/>
          <w:szCs w:val="24"/>
          <w:highlight w:val="none"/>
          <w:lang w:val="en-US" w:eastAsia="zh-CN"/>
        </w:rPr>
        <w:t>0</w:t>
      </w:r>
      <w:r>
        <w:rPr>
          <w:rFonts w:hint="eastAsia" w:ascii="方正仿宋_GB2312" w:hAnsi="方正仿宋_GB2312" w:eastAsia="方正仿宋_GB2312" w:cs="方正仿宋_GB2312"/>
          <w:color w:val="auto"/>
          <w:sz w:val="24"/>
          <w:szCs w:val="24"/>
          <w:highlight w:val="none"/>
        </w:rPr>
        <w:t>.5质疑函必须</w:t>
      </w:r>
      <w:r>
        <w:rPr>
          <w:rFonts w:hint="eastAsia" w:ascii="方正仿宋_GB2312" w:hAnsi="方正仿宋_GB2312" w:eastAsia="方正仿宋_GB2312" w:cs="方正仿宋_GB2312"/>
          <w:color w:val="auto"/>
          <w:sz w:val="24"/>
          <w:szCs w:val="24"/>
          <w:highlight w:val="none"/>
          <w:lang w:eastAsia="zh-CN"/>
        </w:rPr>
        <w:t>按照</w:t>
      </w: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eastAsia="zh-CN"/>
        </w:rPr>
        <w:t>中华人民共和国政府采购法》《中华人民共和国政府采购法实施条例</w:t>
      </w:r>
      <w:r>
        <w:rPr>
          <w:rFonts w:hint="eastAsia" w:ascii="方正仿宋_GB2312" w:hAnsi="方正仿宋_GB2312" w:eastAsia="方正仿宋_GB2312" w:cs="方正仿宋_GB2312"/>
          <w:color w:val="auto"/>
          <w:sz w:val="24"/>
          <w:szCs w:val="24"/>
          <w:highlight w:val="none"/>
        </w:rPr>
        <w:t>》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p>
    <w:p w14:paraId="7F269E75">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w:t>
      </w:r>
      <w:r>
        <w:rPr>
          <w:rFonts w:hint="eastAsia" w:ascii="方正仿宋_GB2312" w:hAnsi="方正仿宋_GB2312" w:eastAsia="方正仿宋_GB2312" w:cs="方正仿宋_GB2312"/>
          <w:color w:val="auto"/>
          <w:sz w:val="24"/>
          <w:szCs w:val="24"/>
          <w:highlight w:val="none"/>
          <w:lang w:val="en-US" w:eastAsia="zh-CN"/>
        </w:rPr>
        <w:t>0</w:t>
      </w:r>
      <w:r>
        <w:rPr>
          <w:rFonts w:hint="eastAsia" w:ascii="方正仿宋_GB2312" w:hAnsi="方正仿宋_GB2312" w:eastAsia="方正仿宋_GB2312" w:cs="方正仿宋_GB2312"/>
          <w:color w:val="auto"/>
          <w:sz w:val="24"/>
          <w:szCs w:val="24"/>
          <w:highlight w:val="none"/>
        </w:rPr>
        <w:t>.6质疑函应当包括以下主要内容，</w:t>
      </w:r>
      <w:r>
        <w:rPr>
          <w:rFonts w:hint="eastAsia" w:ascii="方正仿宋_GB2312" w:hAnsi="方正仿宋_GB2312" w:eastAsia="方正仿宋_GB2312" w:cs="方正仿宋_GB2312"/>
          <w:color w:val="auto"/>
          <w:sz w:val="24"/>
          <w:szCs w:val="24"/>
          <w:highlight w:val="none"/>
          <w:lang w:val="zh-CN"/>
        </w:rPr>
        <w:t>并</w:t>
      </w:r>
      <w:r>
        <w:rPr>
          <w:rFonts w:hint="eastAsia" w:ascii="方正仿宋_GB2312" w:hAnsi="方正仿宋_GB2312" w:eastAsia="方正仿宋_GB2312" w:cs="方正仿宋_GB2312"/>
          <w:color w:val="auto"/>
          <w:sz w:val="24"/>
          <w:szCs w:val="24"/>
          <w:highlight w:val="none"/>
        </w:rPr>
        <w:t>按照“谁主张、谁举证”的原则，附上相关证明材料。否则，采购人（代理机构）不予受理。</w:t>
      </w:r>
    </w:p>
    <w:p w14:paraId="13C01D62">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（1）质疑磋商供应商的名称、地址、邮编、联系人及联系电话；</w:t>
      </w:r>
    </w:p>
    <w:p w14:paraId="5B828700">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（2）质疑项目的名称、编号；</w:t>
      </w:r>
    </w:p>
    <w:p w14:paraId="3649F1C0">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bookmarkStart w:id="28" w:name="_Toc16743"/>
      <w:r>
        <w:rPr>
          <w:rFonts w:hint="eastAsia" w:ascii="方正仿宋_GB2312" w:hAnsi="方正仿宋_GB2312" w:eastAsia="方正仿宋_GB2312" w:cs="方正仿宋_GB2312"/>
          <w:color w:val="auto"/>
          <w:sz w:val="24"/>
          <w:szCs w:val="24"/>
          <w:highlight w:val="none"/>
        </w:rPr>
        <w:t>（3）具体、明确的质疑事项和与质疑事实相关的请求；</w:t>
      </w:r>
      <w:bookmarkEnd w:id="28"/>
    </w:p>
    <w:p w14:paraId="1065B9B0">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bookmarkStart w:id="29" w:name="_Toc20203"/>
      <w:r>
        <w:rPr>
          <w:rFonts w:hint="eastAsia" w:ascii="方正仿宋_GB2312" w:hAnsi="方正仿宋_GB2312" w:eastAsia="方正仿宋_GB2312" w:cs="方正仿宋_GB2312"/>
          <w:color w:val="auto"/>
          <w:sz w:val="24"/>
          <w:szCs w:val="24"/>
          <w:highlight w:val="none"/>
        </w:rPr>
        <w:t>（4）事实依据；</w:t>
      </w:r>
      <w:bookmarkEnd w:id="29"/>
    </w:p>
    <w:p w14:paraId="5D4A94CE">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bookmarkStart w:id="30" w:name="_Toc18795"/>
      <w:r>
        <w:rPr>
          <w:rFonts w:hint="eastAsia" w:ascii="方正仿宋_GB2312" w:hAnsi="方正仿宋_GB2312" w:eastAsia="方正仿宋_GB2312" w:cs="方正仿宋_GB2312"/>
          <w:color w:val="auto"/>
          <w:sz w:val="24"/>
          <w:szCs w:val="24"/>
          <w:highlight w:val="none"/>
        </w:rPr>
        <w:t>（5）必要的法律依据；</w:t>
      </w:r>
      <w:bookmarkEnd w:id="30"/>
    </w:p>
    <w:p w14:paraId="45FDF153">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bookmarkStart w:id="31" w:name="_Toc6388"/>
      <w:r>
        <w:rPr>
          <w:rFonts w:hint="eastAsia" w:ascii="方正仿宋_GB2312" w:hAnsi="方正仿宋_GB2312" w:eastAsia="方正仿宋_GB2312" w:cs="方正仿宋_GB2312"/>
          <w:color w:val="auto"/>
          <w:sz w:val="24"/>
          <w:szCs w:val="24"/>
          <w:highlight w:val="none"/>
        </w:rPr>
        <w:t>（6）提起质疑的日期；</w:t>
      </w:r>
      <w:bookmarkEnd w:id="31"/>
    </w:p>
    <w:p w14:paraId="1205C518">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（7）质疑函应当署名：应当由法定代表人签字并加盖单位公章。</w:t>
      </w:r>
    </w:p>
    <w:p w14:paraId="7C9A66B0">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w:t>
      </w:r>
      <w:r>
        <w:rPr>
          <w:rFonts w:hint="eastAsia" w:ascii="方正仿宋_GB2312" w:hAnsi="方正仿宋_GB2312" w:eastAsia="方正仿宋_GB2312" w:cs="方正仿宋_GB2312"/>
          <w:color w:val="auto"/>
          <w:sz w:val="24"/>
          <w:szCs w:val="24"/>
          <w:highlight w:val="none"/>
          <w:lang w:val="en-US" w:eastAsia="zh-CN"/>
        </w:rPr>
        <w:t>0</w:t>
      </w:r>
      <w:r>
        <w:rPr>
          <w:rFonts w:hint="eastAsia" w:ascii="方正仿宋_GB2312" w:hAnsi="方正仿宋_GB2312" w:eastAsia="方正仿宋_GB2312" w:cs="方正仿宋_GB2312"/>
          <w:color w:val="auto"/>
          <w:sz w:val="24"/>
          <w:szCs w:val="24"/>
          <w:highlight w:val="none"/>
        </w:rPr>
        <w:t>.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p>
    <w:p w14:paraId="36D5A668">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w:t>
      </w:r>
      <w:r>
        <w:rPr>
          <w:rFonts w:hint="eastAsia" w:ascii="方正仿宋_GB2312" w:hAnsi="方正仿宋_GB2312" w:eastAsia="方正仿宋_GB2312" w:cs="方正仿宋_GB2312"/>
          <w:color w:val="auto"/>
          <w:sz w:val="24"/>
          <w:szCs w:val="24"/>
          <w:highlight w:val="none"/>
          <w:lang w:val="en-US" w:eastAsia="zh-CN"/>
        </w:rPr>
        <w:t>0</w:t>
      </w:r>
      <w:r>
        <w:rPr>
          <w:rFonts w:hint="eastAsia" w:ascii="方正仿宋_GB2312" w:hAnsi="方正仿宋_GB2312" w:eastAsia="方正仿宋_GB2312" w:cs="方正仿宋_GB2312"/>
          <w:color w:val="auto"/>
          <w:sz w:val="24"/>
          <w:szCs w:val="24"/>
          <w:highlight w:val="none"/>
        </w:rPr>
        <w:t>.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p>
    <w:p w14:paraId="3711840A">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w:t>
      </w:r>
      <w:r>
        <w:rPr>
          <w:rFonts w:hint="eastAsia" w:ascii="方正仿宋_GB2312" w:hAnsi="方正仿宋_GB2312" w:eastAsia="方正仿宋_GB2312" w:cs="方正仿宋_GB2312"/>
          <w:color w:val="auto"/>
          <w:sz w:val="24"/>
          <w:szCs w:val="24"/>
          <w:highlight w:val="none"/>
          <w:lang w:val="en-US" w:eastAsia="zh-CN"/>
        </w:rPr>
        <w:t>0</w:t>
      </w:r>
      <w:r>
        <w:rPr>
          <w:rFonts w:hint="eastAsia" w:ascii="方正仿宋_GB2312" w:hAnsi="方正仿宋_GB2312" w:eastAsia="方正仿宋_GB2312" w:cs="方正仿宋_GB2312"/>
          <w:color w:val="auto"/>
          <w:sz w:val="24"/>
          <w:szCs w:val="24"/>
          <w:highlight w:val="none"/>
        </w:rPr>
        <w:t>.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p>
    <w:p w14:paraId="3C0F3214">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3</w:t>
      </w:r>
      <w:r>
        <w:rPr>
          <w:rFonts w:hint="eastAsia" w:ascii="方正仿宋_GB2312" w:hAnsi="方正仿宋_GB2312" w:eastAsia="方正仿宋_GB2312" w:cs="方正仿宋_GB2312"/>
          <w:bCs/>
          <w:color w:val="auto"/>
          <w:sz w:val="24"/>
          <w:szCs w:val="24"/>
          <w:highlight w:val="none"/>
          <w:lang w:val="en-US" w:eastAsia="zh-CN"/>
        </w:rPr>
        <w:t>1</w:t>
      </w:r>
      <w:r>
        <w:rPr>
          <w:rFonts w:hint="eastAsia" w:ascii="方正仿宋_GB2312" w:hAnsi="方正仿宋_GB2312" w:eastAsia="方正仿宋_GB2312" w:cs="方正仿宋_GB2312"/>
          <w:bCs/>
          <w:color w:val="auto"/>
          <w:sz w:val="24"/>
          <w:szCs w:val="24"/>
          <w:highlight w:val="none"/>
        </w:rPr>
        <w:t>.投诉</w:t>
      </w:r>
    </w:p>
    <w:p w14:paraId="103028E9">
      <w:pPr>
        <w:pStyle w:val="28"/>
        <w:keepNext w:val="0"/>
        <w:keepLines w:val="0"/>
        <w:pageBreakBefore w:val="0"/>
        <w:widowControl w:val="0"/>
        <w:kinsoku/>
        <w:wordWrap/>
        <w:overflowPunct/>
        <w:topLinePunct w:val="0"/>
        <w:autoSpaceDE/>
        <w:autoSpaceDN/>
        <w:bidi w:val="0"/>
        <w:spacing w:after="0" w:line="380" w:lineRule="exact"/>
        <w:ind w:left="0"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w:t>
      </w:r>
      <w:r>
        <w:rPr>
          <w:rFonts w:hint="eastAsia" w:ascii="方正仿宋_GB2312" w:hAnsi="方正仿宋_GB2312" w:eastAsia="方正仿宋_GB2312" w:cs="方正仿宋_GB2312"/>
          <w:color w:val="auto"/>
          <w:sz w:val="24"/>
          <w:szCs w:val="24"/>
          <w:highlight w:val="none"/>
          <w:lang w:val="en-US" w:eastAsia="zh-CN"/>
        </w:rPr>
        <w:t>1</w:t>
      </w:r>
      <w:r>
        <w:rPr>
          <w:rFonts w:hint="eastAsia" w:ascii="方正仿宋_GB2312" w:hAnsi="方正仿宋_GB2312" w:eastAsia="方正仿宋_GB2312" w:cs="方正仿宋_GB2312"/>
          <w:color w:val="auto"/>
          <w:sz w:val="24"/>
          <w:szCs w:val="24"/>
          <w:highlight w:val="none"/>
        </w:rPr>
        <w:t>.1质疑人对采购人和采购代理机构的答复不满意，或采购人和采购代理机构未在规定的时间内作出答复的，可以在答复期满后十五个工作日内向采购人同级监管部门投诉。</w:t>
      </w:r>
    </w:p>
    <w:p w14:paraId="7346601A">
      <w:pPr>
        <w:keepNext w:val="0"/>
        <w:keepLines w:val="0"/>
        <w:pageBreakBefore w:val="0"/>
        <w:widowControl w:val="0"/>
        <w:kinsoku/>
        <w:wordWrap/>
        <w:overflowPunct/>
        <w:topLinePunct w:val="0"/>
        <w:autoSpaceDE/>
        <w:autoSpaceDN/>
        <w:bidi w:val="0"/>
        <w:spacing w:line="380" w:lineRule="exact"/>
        <w:ind w:firstLine="480"/>
        <w:jc w:val="left"/>
        <w:textAlignment w:val="auto"/>
        <w:outlineLvl w:val="1"/>
        <w:rPr>
          <w:rFonts w:hint="eastAsia" w:ascii="方正仿宋_GB2312" w:hAnsi="方正仿宋_GB2312" w:eastAsia="方正仿宋_GB2312" w:cs="方正仿宋_GB2312"/>
          <w:b/>
          <w:bCs w:val="0"/>
          <w:color w:val="auto"/>
          <w:sz w:val="24"/>
          <w:szCs w:val="24"/>
          <w:highlight w:val="none"/>
        </w:rPr>
      </w:pPr>
      <w:r>
        <w:rPr>
          <w:rFonts w:hint="eastAsia" w:ascii="方正仿宋_GB2312" w:hAnsi="方正仿宋_GB2312" w:eastAsia="方正仿宋_GB2312" w:cs="方正仿宋_GB2312"/>
          <w:b/>
          <w:bCs w:val="0"/>
          <w:color w:val="auto"/>
          <w:sz w:val="24"/>
          <w:szCs w:val="24"/>
          <w:highlight w:val="none"/>
        </w:rPr>
        <w:t>八、政府采购政策功能落实</w:t>
      </w:r>
    </w:p>
    <w:p w14:paraId="7202ADFB">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3</w:t>
      </w:r>
      <w:r>
        <w:rPr>
          <w:rFonts w:hint="eastAsia" w:ascii="方正仿宋_GB2312" w:hAnsi="方正仿宋_GB2312" w:eastAsia="方正仿宋_GB2312" w:cs="方正仿宋_GB2312"/>
          <w:bCs/>
          <w:color w:val="auto"/>
          <w:sz w:val="24"/>
          <w:szCs w:val="24"/>
          <w:highlight w:val="none"/>
          <w:lang w:val="en-US" w:eastAsia="zh-CN"/>
        </w:rPr>
        <w:t>2</w:t>
      </w:r>
      <w:r>
        <w:rPr>
          <w:rFonts w:hint="eastAsia" w:ascii="方正仿宋_GB2312" w:hAnsi="方正仿宋_GB2312" w:eastAsia="方正仿宋_GB2312" w:cs="方正仿宋_GB2312"/>
          <w:bCs/>
          <w:color w:val="auto"/>
          <w:sz w:val="24"/>
          <w:szCs w:val="24"/>
          <w:highlight w:val="none"/>
        </w:rPr>
        <w:t>.政策功能落实</w:t>
      </w:r>
    </w:p>
    <w:p w14:paraId="1559CCC0">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32.1</w:t>
      </w:r>
      <w:r>
        <w:rPr>
          <w:rFonts w:hint="eastAsia" w:ascii="方正仿宋_GB2312" w:hAnsi="方正仿宋_GB2312" w:eastAsia="方正仿宋_GB2312" w:cs="方正仿宋_GB2312"/>
          <w:color w:val="auto"/>
          <w:sz w:val="24"/>
          <w:szCs w:val="24"/>
          <w:highlight w:val="none"/>
        </w:rPr>
        <w:t>小微型企业价格扣除</w:t>
      </w:r>
    </w:p>
    <w:p w14:paraId="58686EBE">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32.1.1</w:t>
      </w:r>
      <w:r>
        <w:rPr>
          <w:rFonts w:hint="eastAsia" w:ascii="方正仿宋_GB2312" w:hAnsi="方正仿宋_GB2312" w:eastAsia="方正仿宋_GB2312" w:cs="方正仿宋_GB2312"/>
          <w:color w:val="auto"/>
          <w:sz w:val="24"/>
          <w:szCs w:val="24"/>
          <w:highlight w:val="none"/>
          <w:lang w:val="zh-CN"/>
        </w:rPr>
        <w:t>对</w:t>
      </w:r>
      <w:r>
        <w:rPr>
          <w:rFonts w:hint="eastAsia" w:ascii="方正仿宋_GB2312" w:hAnsi="方正仿宋_GB2312" w:eastAsia="方正仿宋_GB2312" w:cs="方正仿宋_GB2312"/>
          <w:color w:val="auto"/>
          <w:sz w:val="24"/>
          <w:szCs w:val="24"/>
          <w:highlight w:val="none"/>
        </w:rPr>
        <w:t>于未专门面向中小企业或者</w:t>
      </w:r>
      <w:r>
        <w:rPr>
          <w:rFonts w:hint="eastAsia" w:ascii="方正仿宋_GB2312" w:hAnsi="方正仿宋_GB2312" w:eastAsia="方正仿宋_GB2312" w:cs="方正仿宋_GB2312"/>
          <w:color w:val="auto"/>
          <w:sz w:val="24"/>
          <w:szCs w:val="24"/>
          <w:highlight w:val="none"/>
          <w:lang w:val="zh-CN"/>
        </w:rPr>
        <w:t>未预留份额专门面向中小企业采购的采购项目，供应商提供的货物或者服务</w:t>
      </w:r>
      <w:r>
        <w:rPr>
          <w:rFonts w:hint="eastAsia" w:ascii="方正仿宋_GB2312" w:hAnsi="方正仿宋_GB2312" w:eastAsia="方正仿宋_GB2312" w:cs="方正仿宋_GB2312"/>
          <w:color w:val="auto"/>
          <w:sz w:val="24"/>
          <w:szCs w:val="24"/>
          <w:highlight w:val="none"/>
        </w:rPr>
        <w:t>符合下列情形的，享受本办法规定的中小企业扶持政策给予小型和微型企业报价20%的扣除，用扣除后的价格参与评审。</w:t>
      </w:r>
    </w:p>
    <w:p w14:paraId="1B488CA6">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32.1.2</w:t>
      </w:r>
      <w:r>
        <w:rPr>
          <w:rFonts w:hint="eastAsia" w:ascii="方正仿宋_GB2312" w:hAnsi="方正仿宋_GB2312" w:eastAsia="方正仿宋_GB2312" w:cs="方正仿宋_GB2312"/>
          <w:color w:val="auto"/>
          <w:sz w:val="24"/>
          <w:szCs w:val="24"/>
          <w:highlight w:val="none"/>
        </w:rPr>
        <w:t>供应商需按照招标文件的要求提供相应的《企业声明函》，详见招标文件第六章示范格式。</w:t>
      </w:r>
    </w:p>
    <w:p w14:paraId="2C447E22">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32.1.3</w:t>
      </w:r>
      <w:r>
        <w:rPr>
          <w:rFonts w:hint="eastAsia" w:ascii="方正仿宋_GB2312" w:hAnsi="方正仿宋_GB2312" w:eastAsia="方正仿宋_GB2312" w:cs="方正仿宋_GB2312"/>
          <w:color w:val="auto"/>
          <w:sz w:val="24"/>
          <w:szCs w:val="24"/>
          <w:highlight w:val="none"/>
        </w:rPr>
        <w:t>企业标准请参照《关于印发中小企业划型标准规定的通知》（工信部联企业</w:t>
      </w:r>
      <w:r>
        <w:rPr>
          <w:rFonts w:hint="eastAsia" w:ascii="方正仿宋_GB2312" w:hAnsi="方正仿宋_GB2312" w:eastAsia="方正仿宋_GB2312" w:cs="方正仿宋_GB2312"/>
          <w:color w:val="auto"/>
          <w:sz w:val="24"/>
          <w:szCs w:val="24"/>
          <w:highlight w:val="none"/>
          <w:lang w:eastAsia="zh-CN"/>
        </w:rPr>
        <w:t>〔2011〕300号</w:t>
      </w:r>
      <w:r>
        <w:rPr>
          <w:rFonts w:hint="eastAsia" w:ascii="方正仿宋_GB2312" w:hAnsi="方正仿宋_GB2312" w:eastAsia="方正仿宋_GB2312" w:cs="方正仿宋_GB2312"/>
          <w:color w:val="auto"/>
          <w:sz w:val="24"/>
          <w:szCs w:val="24"/>
          <w:highlight w:val="none"/>
        </w:rPr>
        <w:t>）文件规定自行填写。</w:t>
      </w:r>
    </w:p>
    <w:p w14:paraId="7979F82C">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32.2</w:t>
      </w:r>
      <w:r>
        <w:rPr>
          <w:rFonts w:hint="eastAsia" w:ascii="方正仿宋_GB2312" w:hAnsi="方正仿宋_GB2312" w:eastAsia="方正仿宋_GB2312" w:cs="方正仿宋_GB2312"/>
          <w:color w:val="auto"/>
          <w:sz w:val="24"/>
          <w:szCs w:val="24"/>
          <w:highlight w:val="none"/>
        </w:rPr>
        <w:t>残疾人福利单位价格扣除</w:t>
      </w:r>
    </w:p>
    <w:p w14:paraId="36996FCB">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32.2.1</w:t>
      </w:r>
      <w:r>
        <w:rPr>
          <w:rFonts w:hint="eastAsia" w:ascii="方正仿宋_GB2312" w:hAnsi="方正仿宋_GB2312" w:eastAsia="方正仿宋_GB2312" w:cs="方正仿宋_GB2312"/>
          <w:color w:val="auto"/>
          <w:sz w:val="24"/>
          <w:szCs w:val="24"/>
          <w:highlight w:val="none"/>
        </w:rPr>
        <w:t>本项目对残疾人福利性单位视同小型、微型企业，给予20%的价格扣除，用扣除后的价格参与评审。</w:t>
      </w:r>
    </w:p>
    <w:p w14:paraId="3985F7F7">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32.2.2</w:t>
      </w:r>
      <w:r>
        <w:rPr>
          <w:rFonts w:hint="eastAsia" w:ascii="方正仿宋_GB2312" w:hAnsi="方正仿宋_GB2312" w:eastAsia="方正仿宋_GB2312" w:cs="方正仿宋_GB2312"/>
          <w:color w:val="auto"/>
          <w:sz w:val="24"/>
          <w:szCs w:val="24"/>
          <w:highlight w:val="none"/>
        </w:rPr>
        <w:t>残疾人福利单位需按照招标文件的要求提供《残疾人福利性单位声明函》，详见招标文件第六章示范格式。</w:t>
      </w:r>
    </w:p>
    <w:p w14:paraId="7D64BA3B">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32.2.3</w:t>
      </w:r>
      <w:r>
        <w:rPr>
          <w:rFonts w:hint="eastAsia" w:ascii="方正仿宋_GB2312" w:hAnsi="方正仿宋_GB2312" w:eastAsia="方正仿宋_GB2312" w:cs="方正仿宋_GB2312"/>
          <w:color w:val="auto"/>
          <w:sz w:val="24"/>
          <w:szCs w:val="24"/>
          <w:highlight w:val="none"/>
        </w:rPr>
        <w:t>残疾人福利单位标准请参照《关于促进残疾人就业政府采购政策的通知》（财库〔2017〕141号）。</w:t>
      </w:r>
    </w:p>
    <w:p w14:paraId="4F2E3E7F">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32.3</w:t>
      </w:r>
      <w:r>
        <w:rPr>
          <w:rFonts w:hint="eastAsia" w:ascii="方正仿宋_GB2312" w:hAnsi="方正仿宋_GB2312" w:eastAsia="方正仿宋_GB2312" w:cs="方正仿宋_GB2312"/>
          <w:color w:val="auto"/>
          <w:sz w:val="24"/>
          <w:szCs w:val="24"/>
          <w:highlight w:val="none"/>
        </w:rPr>
        <w:t>监狱和戒毒企业价格扣除</w:t>
      </w:r>
    </w:p>
    <w:p w14:paraId="1842B780">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32.3.1</w:t>
      </w:r>
      <w:r>
        <w:rPr>
          <w:rFonts w:hint="eastAsia" w:ascii="方正仿宋_GB2312" w:hAnsi="方正仿宋_GB2312" w:eastAsia="方正仿宋_GB2312" w:cs="方正仿宋_GB2312"/>
          <w:color w:val="auto"/>
          <w:sz w:val="24"/>
          <w:szCs w:val="24"/>
          <w:highlight w:val="none"/>
        </w:rPr>
        <w:t>本项目对监狱和戒毒企业（简称监狱企业）视同小型、微型企业，给予20%的价格扣除，用扣除后的价格参与评审。</w:t>
      </w:r>
    </w:p>
    <w:p w14:paraId="4690B286">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32.3.2</w:t>
      </w:r>
      <w:r>
        <w:rPr>
          <w:rFonts w:hint="eastAsia" w:ascii="方正仿宋_GB2312" w:hAnsi="方正仿宋_GB2312" w:eastAsia="方正仿宋_GB2312" w:cs="方正仿宋_GB2312"/>
          <w:color w:val="auto"/>
          <w:sz w:val="24"/>
          <w:szCs w:val="24"/>
          <w:highlight w:val="none"/>
        </w:rPr>
        <w:t>监狱企业参加政府采购活动时，需提供由省级以上监狱管理局、戒毒管理局（含新疆生产建设兵团）出具的属于监狱企业的证明文件）</w:t>
      </w:r>
      <w:r>
        <w:rPr>
          <w:rFonts w:hint="eastAsia" w:ascii="方正仿宋_GB2312" w:hAnsi="方正仿宋_GB2312" w:eastAsia="方正仿宋_GB2312" w:cs="方正仿宋_GB2312"/>
          <w:color w:val="auto"/>
          <w:sz w:val="24"/>
          <w:szCs w:val="24"/>
          <w:highlight w:val="none"/>
          <w:lang w:eastAsia="zh-CN"/>
        </w:rPr>
        <w:t>（在</w:t>
      </w:r>
      <w:r>
        <w:rPr>
          <w:rFonts w:hint="eastAsia" w:ascii="方正仿宋_GB2312" w:hAnsi="方正仿宋_GB2312" w:eastAsia="方正仿宋_GB2312" w:cs="方正仿宋_GB2312"/>
          <w:color w:val="auto"/>
          <w:sz w:val="24"/>
          <w:szCs w:val="24"/>
          <w:highlight w:val="none"/>
        </w:rPr>
        <w:t>投标文件中上传加盖出具单位公章的电子件）。如不提供上述证明文件，价格将不做相应扣除。</w:t>
      </w:r>
    </w:p>
    <w:p w14:paraId="07EC408C">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32.3.3</w:t>
      </w:r>
      <w:r>
        <w:rPr>
          <w:rFonts w:hint="eastAsia" w:ascii="方正仿宋_GB2312" w:hAnsi="方正仿宋_GB2312" w:eastAsia="方正仿宋_GB2312" w:cs="方正仿宋_GB2312"/>
          <w:color w:val="auto"/>
          <w:sz w:val="24"/>
          <w:szCs w:val="24"/>
          <w:highlight w:val="none"/>
        </w:rPr>
        <w:t>监狱企业标准请参照《关于政府采购支持监狱企业发展有关问题的通知》（财库</w:t>
      </w:r>
      <w:r>
        <w:rPr>
          <w:rFonts w:hint="eastAsia" w:ascii="方正仿宋_GB2312" w:hAnsi="方正仿宋_GB2312" w:eastAsia="方正仿宋_GB2312" w:cs="方正仿宋_GB2312"/>
          <w:color w:val="auto"/>
          <w:sz w:val="24"/>
          <w:szCs w:val="24"/>
          <w:highlight w:val="none"/>
          <w:lang w:eastAsia="zh-CN"/>
        </w:rPr>
        <w:t>〔2014〕68号</w:t>
      </w:r>
      <w:r>
        <w:rPr>
          <w:rFonts w:hint="eastAsia" w:ascii="方正仿宋_GB2312" w:hAnsi="方正仿宋_GB2312" w:eastAsia="方正仿宋_GB2312" w:cs="方正仿宋_GB2312"/>
          <w:color w:val="auto"/>
          <w:sz w:val="24"/>
          <w:szCs w:val="24"/>
          <w:highlight w:val="none"/>
        </w:rPr>
        <w:t>）。</w:t>
      </w:r>
    </w:p>
    <w:p w14:paraId="7A4B1C3F">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32.3.4</w:t>
      </w:r>
      <w:r>
        <w:rPr>
          <w:rFonts w:hint="eastAsia" w:ascii="方正仿宋_GB2312" w:hAnsi="方正仿宋_GB2312" w:eastAsia="方正仿宋_GB2312" w:cs="方正仿宋_GB2312"/>
          <w:color w:val="auto"/>
          <w:sz w:val="24"/>
          <w:szCs w:val="24"/>
          <w:highlight w:val="none"/>
        </w:rPr>
        <w:t>对于同时属于小型、微型企业、残疾人福利单位、监狱企业的，不重复享受政策。</w:t>
      </w:r>
    </w:p>
    <w:p w14:paraId="6A8A5457">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33.</w:t>
      </w:r>
      <w:r>
        <w:rPr>
          <w:rFonts w:hint="eastAsia" w:ascii="方正仿宋_GB2312" w:hAnsi="方正仿宋_GB2312" w:eastAsia="方正仿宋_GB2312" w:cs="方正仿宋_GB2312"/>
          <w:color w:val="auto"/>
          <w:sz w:val="24"/>
          <w:szCs w:val="24"/>
          <w:highlight w:val="none"/>
        </w:rPr>
        <w:t>采购本国产品的支持政策</w:t>
      </w:r>
    </w:p>
    <w:p w14:paraId="3B0C632B">
      <w:pPr>
        <w:keepNext w:val="0"/>
        <w:keepLines w:val="0"/>
        <w:pageBreakBefore w:val="0"/>
        <w:widowControl w:val="0"/>
        <w:kinsoku/>
        <w:wordWrap/>
        <w:overflowPunct/>
        <w:topLinePunct w:val="0"/>
        <w:autoSpaceDE/>
        <w:autoSpaceDN/>
        <w:bidi w:val="0"/>
        <w:spacing w:line="380" w:lineRule="exact"/>
        <w:ind w:firstLine="480"/>
        <w:jc w:val="left"/>
        <w:textAlignment w:val="auto"/>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33.1</w:t>
      </w:r>
      <w:r>
        <w:rPr>
          <w:rFonts w:hint="eastAsia" w:ascii="方正仿宋_GB2312" w:hAnsi="方正仿宋_GB2312" w:eastAsia="方正仿宋_GB2312" w:cs="方正仿宋_GB2312"/>
          <w:color w:val="auto"/>
          <w:sz w:val="24"/>
          <w:szCs w:val="24"/>
          <w:highlight w:val="none"/>
        </w:rPr>
        <w:t>本国产品标准和小微企业价格评审优惠可同时享受，分别在供应商报价基础上予以扣除用扣除后的价格参与评审，但不改变最终中标、成交价格政府采购合同仍按照中标、成交供应商的报价签订</w:t>
      </w:r>
      <w:r>
        <w:rPr>
          <w:rFonts w:hint="eastAsia" w:ascii="方正仿宋_GB2312" w:hAnsi="方正仿宋_GB2312" w:eastAsia="方正仿宋_GB2312" w:cs="方正仿宋_GB2312"/>
          <w:color w:val="auto"/>
          <w:sz w:val="24"/>
          <w:szCs w:val="24"/>
          <w:highlight w:val="none"/>
          <w:lang w:eastAsia="zh-CN"/>
        </w:rPr>
        <w:t>。</w:t>
      </w:r>
    </w:p>
    <w:p w14:paraId="1EB1F2B6">
      <w:pPr>
        <w:keepNext w:val="0"/>
        <w:keepLines w:val="0"/>
        <w:pageBreakBefore w:val="0"/>
        <w:widowControl w:val="0"/>
        <w:kinsoku/>
        <w:wordWrap/>
        <w:overflowPunct/>
        <w:topLinePunct w:val="0"/>
        <w:autoSpaceDE/>
        <w:autoSpaceDN/>
        <w:bidi w:val="0"/>
        <w:spacing w:line="380" w:lineRule="exact"/>
        <w:ind w:firstLine="24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w:t>
      </w:r>
      <w:r>
        <w:rPr>
          <w:rFonts w:hint="eastAsia" w:ascii="方正仿宋_GB2312" w:hAnsi="方正仿宋_GB2312" w:eastAsia="方正仿宋_GB2312" w:cs="方正仿宋_GB2312"/>
          <w:color w:val="auto"/>
          <w:sz w:val="24"/>
          <w:szCs w:val="24"/>
          <w:highlight w:val="none"/>
          <w:lang w:val="en-US" w:eastAsia="zh-CN"/>
        </w:rPr>
        <w:t>4</w:t>
      </w:r>
      <w:r>
        <w:rPr>
          <w:rFonts w:hint="eastAsia" w:ascii="方正仿宋_GB2312" w:hAnsi="方正仿宋_GB2312" w:eastAsia="方正仿宋_GB2312" w:cs="方正仿宋_GB2312"/>
          <w:color w:val="auto"/>
          <w:sz w:val="24"/>
          <w:szCs w:val="24"/>
          <w:highlight w:val="none"/>
        </w:rPr>
        <w:t>. 节能、环保政策</w:t>
      </w:r>
    </w:p>
    <w:p w14:paraId="0596B7CE">
      <w:pPr>
        <w:keepNext w:val="0"/>
        <w:keepLines w:val="0"/>
        <w:pageBreakBefore w:val="0"/>
        <w:widowControl w:val="0"/>
        <w:kinsoku/>
        <w:wordWrap/>
        <w:overflowPunct/>
        <w:topLinePunct w:val="0"/>
        <w:autoSpaceDE/>
        <w:autoSpaceDN/>
        <w:bidi w:val="0"/>
        <w:spacing w:line="380" w:lineRule="exact"/>
        <w:ind w:firstLine="24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w:t>
      </w:r>
      <w:r>
        <w:rPr>
          <w:rFonts w:hint="eastAsia" w:ascii="方正仿宋_GB2312" w:hAnsi="方正仿宋_GB2312" w:eastAsia="方正仿宋_GB2312" w:cs="方正仿宋_GB2312"/>
          <w:color w:val="auto"/>
          <w:sz w:val="24"/>
          <w:szCs w:val="24"/>
          <w:highlight w:val="none"/>
          <w:lang w:val="en-US" w:eastAsia="zh-CN"/>
        </w:rPr>
        <w:t>4</w:t>
      </w:r>
      <w:r>
        <w:rPr>
          <w:rFonts w:hint="eastAsia" w:ascii="方正仿宋_GB2312" w:hAnsi="方正仿宋_GB2312" w:eastAsia="方正仿宋_GB2312" w:cs="方正仿宋_GB2312"/>
          <w:color w:val="auto"/>
          <w:sz w:val="24"/>
          <w:szCs w:val="24"/>
          <w:highlight w:val="none"/>
        </w:rPr>
        <w:t>.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p>
    <w:p w14:paraId="6476D265">
      <w:pPr>
        <w:keepNext w:val="0"/>
        <w:keepLines w:val="0"/>
        <w:pageBreakBefore w:val="0"/>
        <w:widowControl w:val="0"/>
        <w:kinsoku/>
        <w:wordWrap/>
        <w:overflowPunct/>
        <w:topLinePunct w:val="0"/>
        <w:autoSpaceDE/>
        <w:autoSpaceDN/>
        <w:bidi w:val="0"/>
        <w:spacing w:line="380" w:lineRule="exact"/>
        <w:ind w:firstLine="24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w:t>
      </w:r>
      <w:r>
        <w:rPr>
          <w:rFonts w:hint="eastAsia" w:ascii="方正仿宋_GB2312" w:hAnsi="方正仿宋_GB2312" w:eastAsia="方正仿宋_GB2312" w:cs="方正仿宋_GB2312"/>
          <w:color w:val="auto"/>
          <w:sz w:val="24"/>
          <w:szCs w:val="24"/>
          <w:highlight w:val="none"/>
          <w:lang w:val="en-US" w:eastAsia="zh-CN"/>
        </w:rPr>
        <w:t>4</w:t>
      </w:r>
      <w:r>
        <w:rPr>
          <w:rFonts w:hint="eastAsia" w:ascii="方正仿宋_GB2312" w:hAnsi="方正仿宋_GB2312" w:eastAsia="方正仿宋_GB2312" w:cs="方正仿宋_GB2312"/>
          <w:color w:val="auto"/>
          <w:sz w:val="24"/>
          <w:szCs w:val="24"/>
          <w:highlight w:val="none"/>
        </w:rPr>
        <w:t>.2节能产品（本项目不涉及）</w:t>
      </w:r>
    </w:p>
    <w:p w14:paraId="0E590E68">
      <w:pPr>
        <w:keepNext w:val="0"/>
        <w:keepLines w:val="0"/>
        <w:pageBreakBefore w:val="0"/>
        <w:widowControl w:val="0"/>
        <w:kinsoku/>
        <w:wordWrap/>
        <w:overflowPunct/>
        <w:topLinePunct w:val="0"/>
        <w:autoSpaceDE/>
        <w:autoSpaceDN/>
        <w:bidi w:val="0"/>
        <w:spacing w:line="380" w:lineRule="exact"/>
        <w:ind w:firstLine="240"/>
        <w:textAlignment w:val="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本项目</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u w:val="single"/>
        </w:rPr>
        <w:t>采购产品</w:t>
      </w:r>
      <w:r>
        <w:rPr>
          <w:rFonts w:hint="eastAsia" w:ascii="方正仿宋_GB2312" w:hAnsi="方正仿宋_GB2312" w:eastAsia="方正仿宋_GB2312" w:cs="方正仿宋_GB2312"/>
          <w:color w:val="auto"/>
          <w:sz w:val="24"/>
          <w:szCs w:val="24"/>
          <w:highlight w:val="none"/>
          <w:u w:val="single"/>
          <w:lang w:eastAsia="zh-CN"/>
        </w:rPr>
        <w:t>）</w:t>
      </w:r>
      <w:r>
        <w:rPr>
          <w:rFonts w:hint="eastAsia" w:ascii="方正仿宋_GB2312" w:hAnsi="方正仿宋_GB2312" w:eastAsia="方正仿宋_GB2312" w:cs="方正仿宋_GB2312"/>
          <w:color w:val="auto"/>
          <w:sz w:val="24"/>
          <w:szCs w:val="24"/>
          <w:highlight w:val="none"/>
        </w:rPr>
        <w:t>被列入“节能产品品目清单”的，实行</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u w:val="single"/>
        </w:rPr>
        <w:t>优先采购/强制采购）。</w:t>
      </w:r>
    </w:p>
    <w:p w14:paraId="6D237A0E">
      <w:pPr>
        <w:keepNext w:val="0"/>
        <w:keepLines w:val="0"/>
        <w:pageBreakBefore w:val="0"/>
        <w:widowControl w:val="0"/>
        <w:kinsoku/>
        <w:wordWrap/>
        <w:overflowPunct/>
        <w:topLinePunct w:val="0"/>
        <w:autoSpaceDE/>
        <w:autoSpaceDN/>
        <w:bidi w:val="0"/>
        <w:spacing w:line="380" w:lineRule="exact"/>
        <w:ind w:firstLine="24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w:t>
      </w:r>
      <w:r>
        <w:rPr>
          <w:rFonts w:hint="eastAsia" w:ascii="方正仿宋_GB2312" w:hAnsi="方正仿宋_GB2312" w:eastAsia="方正仿宋_GB2312" w:cs="方正仿宋_GB2312"/>
          <w:color w:val="auto"/>
          <w:sz w:val="24"/>
          <w:szCs w:val="24"/>
          <w:highlight w:val="none"/>
          <w:lang w:val="en-US" w:eastAsia="zh-CN"/>
        </w:rPr>
        <w:t>4</w:t>
      </w:r>
      <w:r>
        <w:rPr>
          <w:rFonts w:hint="eastAsia" w:ascii="方正仿宋_GB2312" w:hAnsi="方正仿宋_GB2312" w:eastAsia="方正仿宋_GB2312" w:cs="方正仿宋_GB2312"/>
          <w:color w:val="auto"/>
          <w:sz w:val="24"/>
          <w:szCs w:val="24"/>
          <w:highlight w:val="none"/>
        </w:rPr>
        <w:t>.3环保产品（本项目不涉及）</w:t>
      </w:r>
    </w:p>
    <w:p w14:paraId="09E19283">
      <w:pPr>
        <w:keepNext w:val="0"/>
        <w:keepLines w:val="0"/>
        <w:pageBreakBefore w:val="0"/>
        <w:widowControl w:val="0"/>
        <w:kinsoku/>
        <w:wordWrap/>
        <w:overflowPunct/>
        <w:topLinePunct w:val="0"/>
        <w:autoSpaceDE/>
        <w:autoSpaceDN/>
        <w:bidi w:val="0"/>
        <w:spacing w:line="380" w:lineRule="exact"/>
        <w:ind w:firstLine="24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本项目</w:t>
      </w:r>
      <w:r>
        <w:rPr>
          <w:rFonts w:hint="eastAsia" w:ascii="方正仿宋_GB2312" w:hAnsi="方正仿宋_GB2312" w:eastAsia="方正仿宋_GB2312" w:cs="方正仿宋_GB2312"/>
          <w:color w:val="auto"/>
          <w:sz w:val="24"/>
          <w:szCs w:val="24"/>
          <w:highlight w:val="none"/>
          <w:u w:val="single"/>
          <w:lang w:eastAsia="zh-CN"/>
        </w:rPr>
        <w:t>（</w:t>
      </w:r>
      <w:r>
        <w:rPr>
          <w:rFonts w:hint="eastAsia" w:ascii="方正仿宋_GB2312" w:hAnsi="方正仿宋_GB2312" w:eastAsia="方正仿宋_GB2312" w:cs="方正仿宋_GB2312"/>
          <w:color w:val="auto"/>
          <w:sz w:val="24"/>
          <w:szCs w:val="24"/>
          <w:highlight w:val="none"/>
          <w:u w:val="single"/>
        </w:rPr>
        <w:t>采购产品</w:t>
      </w:r>
      <w:r>
        <w:rPr>
          <w:rFonts w:hint="eastAsia" w:ascii="方正仿宋_GB2312" w:hAnsi="方正仿宋_GB2312" w:eastAsia="方正仿宋_GB2312" w:cs="方正仿宋_GB2312"/>
          <w:color w:val="auto"/>
          <w:sz w:val="24"/>
          <w:szCs w:val="24"/>
          <w:highlight w:val="none"/>
          <w:u w:val="single"/>
          <w:lang w:eastAsia="zh-CN"/>
        </w:rPr>
        <w:t>）</w:t>
      </w:r>
      <w:r>
        <w:rPr>
          <w:rFonts w:hint="eastAsia" w:ascii="方正仿宋_GB2312" w:hAnsi="方正仿宋_GB2312" w:eastAsia="方正仿宋_GB2312" w:cs="方正仿宋_GB2312"/>
          <w:color w:val="auto"/>
          <w:sz w:val="24"/>
          <w:szCs w:val="24"/>
          <w:highlight w:val="none"/>
        </w:rPr>
        <w:t>中投标产品被列入“环境标志产品品目清单”，实行优先采购。</w:t>
      </w:r>
    </w:p>
    <w:p w14:paraId="7D1699B0">
      <w:pPr>
        <w:keepNext w:val="0"/>
        <w:keepLines w:val="0"/>
        <w:pageBreakBefore w:val="0"/>
        <w:widowControl w:val="0"/>
        <w:kinsoku/>
        <w:wordWrap/>
        <w:overflowPunct/>
        <w:topLinePunct w:val="0"/>
        <w:autoSpaceDE/>
        <w:autoSpaceDN/>
        <w:bidi w:val="0"/>
        <w:spacing w:line="380" w:lineRule="exact"/>
        <w:ind w:firstLine="24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w:t>
      </w:r>
      <w:r>
        <w:rPr>
          <w:rFonts w:hint="eastAsia" w:ascii="方正仿宋_GB2312" w:hAnsi="方正仿宋_GB2312" w:eastAsia="方正仿宋_GB2312" w:cs="方正仿宋_GB2312"/>
          <w:color w:val="auto"/>
          <w:sz w:val="24"/>
          <w:szCs w:val="24"/>
          <w:highlight w:val="none"/>
          <w:lang w:val="en-US" w:eastAsia="zh-CN"/>
        </w:rPr>
        <w:t>4</w:t>
      </w:r>
      <w:r>
        <w:rPr>
          <w:rFonts w:hint="eastAsia" w:ascii="方正仿宋_GB2312" w:hAnsi="方正仿宋_GB2312" w:eastAsia="方正仿宋_GB2312" w:cs="方正仿宋_GB2312"/>
          <w:color w:val="auto"/>
          <w:sz w:val="24"/>
          <w:szCs w:val="24"/>
          <w:highlight w:val="none"/>
        </w:rPr>
        <w:t>.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p>
    <w:p w14:paraId="0F5B2E97">
      <w:pPr>
        <w:keepNext w:val="0"/>
        <w:keepLines w:val="0"/>
        <w:pageBreakBefore w:val="0"/>
        <w:widowControl w:val="0"/>
        <w:kinsoku/>
        <w:wordWrap/>
        <w:overflowPunct/>
        <w:topLinePunct w:val="0"/>
        <w:autoSpaceDE/>
        <w:autoSpaceDN/>
        <w:bidi w:val="0"/>
        <w:spacing w:line="380" w:lineRule="exact"/>
        <w:ind w:firstLine="240"/>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3</w:t>
      </w:r>
      <w:r>
        <w:rPr>
          <w:rFonts w:hint="eastAsia" w:ascii="方正仿宋_GB2312" w:hAnsi="方正仿宋_GB2312" w:eastAsia="方正仿宋_GB2312" w:cs="方正仿宋_GB2312"/>
          <w:color w:val="auto"/>
          <w:sz w:val="24"/>
          <w:szCs w:val="24"/>
          <w:highlight w:val="none"/>
          <w:lang w:val="en-US" w:eastAsia="zh-CN"/>
        </w:rPr>
        <w:t>4</w:t>
      </w:r>
      <w:r>
        <w:rPr>
          <w:rFonts w:hint="eastAsia" w:ascii="方正仿宋_GB2312" w:hAnsi="方正仿宋_GB2312" w:eastAsia="方正仿宋_GB2312" w:cs="方正仿宋_GB2312"/>
          <w:color w:val="auto"/>
          <w:sz w:val="24"/>
          <w:szCs w:val="24"/>
          <w:highlight w:val="none"/>
        </w:rPr>
        <w:t>.5节能、环保产品的品目清单按照《关于印发环境标志产品政府采购品目清单的通知》（财库〔2019〕18号）、《关于印发节能产品政府采购品目清单的</w:t>
      </w:r>
      <w:r>
        <w:rPr>
          <w:rFonts w:hint="eastAsia" w:ascii="方正仿宋_GB2312" w:hAnsi="方正仿宋_GB2312" w:eastAsia="方正仿宋_GB2312" w:cs="方正仿宋_GB2312"/>
          <w:bCs/>
          <w:color w:val="auto"/>
          <w:sz w:val="24"/>
          <w:szCs w:val="24"/>
          <w:highlight w:val="none"/>
        </w:rPr>
        <w:t>通知》（财库〔2019〕19号）执行。国家对品目清单进行调整的，按照最新调整的品目清单执行。</w:t>
      </w:r>
    </w:p>
    <w:p w14:paraId="10A1EA7C">
      <w:pPr>
        <w:keepNext w:val="0"/>
        <w:keepLines w:val="0"/>
        <w:pageBreakBefore w:val="0"/>
        <w:widowControl w:val="0"/>
        <w:kinsoku/>
        <w:wordWrap/>
        <w:overflowPunct/>
        <w:topLinePunct w:val="0"/>
        <w:autoSpaceDE/>
        <w:autoSpaceDN/>
        <w:bidi w:val="0"/>
        <w:spacing w:line="380" w:lineRule="exact"/>
        <w:ind w:firstLine="240"/>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lang w:eastAsia="zh-CN"/>
        </w:rPr>
        <w:t>3</w:t>
      </w:r>
      <w:r>
        <w:rPr>
          <w:rFonts w:hint="eastAsia" w:ascii="方正仿宋_GB2312" w:hAnsi="方正仿宋_GB2312" w:eastAsia="方正仿宋_GB2312" w:cs="方正仿宋_GB2312"/>
          <w:bCs/>
          <w:color w:val="auto"/>
          <w:sz w:val="24"/>
          <w:szCs w:val="24"/>
          <w:highlight w:val="none"/>
          <w:lang w:val="en-US" w:eastAsia="zh-CN"/>
        </w:rPr>
        <w:t>5</w:t>
      </w:r>
      <w:r>
        <w:rPr>
          <w:rFonts w:hint="eastAsia" w:ascii="方正仿宋_GB2312" w:hAnsi="方正仿宋_GB2312" w:eastAsia="方正仿宋_GB2312" w:cs="方正仿宋_GB2312"/>
          <w:bCs/>
          <w:color w:val="auto"/>
          <w:sz w:val="24"/>
          <w:szCs w:val="24"/>
          <w:highlight w:val="none"/>
          <w:lang w:eastAsia="zh-CN"/>
        </w:rPr>
        <w:t>.</w:t>
      </w:r>
      <w:r>
        <w:rPr>
          <w:rFonts w:hint="eastAsia" w:ascii="方正仿宋_GB2312" w:hAnsi="方正仿宋_GB2312" w:eastAsia="方正仿宋_GB2312" w:cs="方正仿宋_GB2312"/>
          <w:bCs/>
          <w:color w:val="auto"/>
          <w:sz w:val="24"/>
          <w:szCs w:val="24"/>
          <w:highlight w:val="none"/>
        </w:rPr>
        <w:t>政府绿色采购</w:t>
      </w:r>
    </w:p>
    <w:p w14:paraId="1EEA1BBA">
      <w:pPr>
        <w:keepNext w:val="0"/>
        <w:keepLines w:val="0"/>
        <w:pageBreakBefore w:val="0"/>
        <w:widowControl w:val="0"/>
        <w:kinsoku/>
        <w:wordWrap/>
        <w:overflowPunct/>
        <w:topLinePunct w:val="0"/>
        <w:autoSpaceDE/>
        <w:autoSpaceDN/>
        <w:bidi w:val="0"/>
        <w:spacing w:line="380" w:lineRule="exact"/>
        <w:ind w:firstLine="240"/>
        <w:textAlignment w:val="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根据《江苏省财政厅关于加强政府绿色采购有关事项的通知》（苏财购〔2023〕65号）的要求，落实政府绿色采购相关政策，具体如下：</w:t>
      </w:r>
    </w:p>
    <w:p w14:paraId="51E5B2B9">
      <w:pPr>
        <w:keepNext w:val="0"/>
        <w:keepLines w:val="0"/>
        <w:pageBreakBefore w:val="0"/>
        <w:widowControl w:val="0"/>
        <w:kinsoku/>
        <w:wordWrap/>
        <w:overflowPunct/>
        <w:topLinePunct w:val="0"/>
        <w:autoSpaceDE/>
        <w:autoSpaceDN/>
        <w:bidi w:val="0"/>
        <w:spacing w:line="380" w:lineRule="exact"/>
        <w:ind w:firstLine="24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w:t>
      </w:r>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rPr>
        <w:t>.1本项目为货物类采购项目的，所提供的产品需综合考虑节能环保、节水、循环再生、低碳、有机等因素；本项目为物业、合同能源管理等服务类采购项目的，应在服务中加强绿色低碳管理。</w:t>
      </w:r>
    </w:p>
    <w:p w14:paraId="323059A8">
      <w:pPr>
        <w:pStyle w:val="42"/>
        <w:keepNext w:val="0"/>
        <w:keepLines w:val="0"/>
        <w:pageBreakBefore w:val="0"/>
        <w:widowControl w:val="0"/>
        <w:kinsoku/>
        <w:wordWrap/>
        <w:overflowPunct/>
        <w:topLinePunct w:val="0"/>
        <w:autoSpaceDE/>
        <w:autoSpaceDN/>
        <w:bidi w:val="0"/>
        <w:spacing w:after="0" w:line="380" w:lineRule="exact"/>
        <w:ind w:left="0" w:firstLine="240"/>
        <w:textAlignment w:val="auto"/>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3</w:t>
      </w:r>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lang w:eastAsia="zh-CN"/>
        </w:rPr>
        <w:t>.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p>
    <w:p w14:paraId="58798863">
      <w:pPr>
        <w:pStyle w:val="42"/>
        <w:keepNext w:val="0"/>
        <w:keepLines w:val="0"/>
        <w:pageBreakBefore w:val="0"/>
        <w:widowControl w:val="0"/>
        <w:kinsoku/>
        <w:wordWrap/>
        <w:overflowPunct/>
        <w:topLinePunct w:val="0"/>
        <w:autoSpaceDE/>
        <w:autoSpaceDN/>
        <w:bidi w:val="0"/>
        <w:spacing w:line="380" w:lineRule="exact"/>
        <w:ind w:left="0" w:firstLine="240"/>
        <w:textAlignment w:val="auto"/>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3</w:t>
      </w:r>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lang w:eastAsia="zh-CN"/>
        </w:rPr>
        <w:t>.3本项目中</w:t>
      </w:r>
      <w:r>
        <w:rPr>
          <w:rFonts w:hint="eastAsia" w:ascii="方正仿宋_GB2312" w:hAnsi="方正仿宋_GB2312" w:eastAsia="方正仿宋_GB2312" w:cs="方正仿宋_GB2312"/>
          <w:color w:val="auto"/>
          <w:sz w:val="24"/>
          <w:szCs w:val="24"/>
          <w:highlight w:val="none"/>
          <w:lang w:val="en-US" w:eastAsia="zh-CN"/>
        </w:rPr>
        <w:t>如</w:t>
      </w:r>
      <w:r>
        <w:rPr>
          <w:rFonts w:hint="eastAsia" w:ascii="方正仿宋_GB2312" w:hAnsi="方正仿宋_GB2312" w:eastAsia="方正仿宋_GB2312" w:cs="方正仿宋_GB2312"/>
          <w:color w:val="auto"/>
          <w:sz w:val="24"/>
          <w:szCs w:val="24"/>
          <w:highlight w:val="none"/>
          <w:lang w:eastAsia="zh-CN"/>
        </w:rPr>
        <w:t>涉及涂料、胶黏剂、油墨、清洗剂等挥发性有机物产品的，要执行国家和江苏省VOCs含量限制标准，优先使用低挥发性原辅材料，使用低VOCs含量的涂料、胶黏剂等。</w:t>
      </w:r>
    </w:p>
    <w:p w14:paraId="5889CA73">
      <w:pPr>
        <w:keepNext w:val="0"/>
        <w:keepLines w:val="0"/>
        <w:pageBreakBefore w:val="0"/>
        <w:widowControl w:val="0"/>
        <w:kinsoku/>
        <w:wordWrap/>
        <w:overflowPunct/>
        <w:topLinePunct w:val="0"/>
        <w:autoSpaceDE/>
        <w:autoSpaceDN/>
        <w:bidi w:val="0"/>
        <w:spacing w:line="380" w:lineRule="exact"/>
        <w:ind w:firstLine="24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w:t>
      </w:r>
      <w:r>
        <w:rPr>
          <w:rFonts w:hint="eastAsia" w:ascii="方正仿宋_GB2312" w:hAnsi="方正仿宋_GB2312" w:eastAsia="方正仿宋_GB2312" w:cs="方正仿宋_GB2312"/>
          <w:color w:val="auto"/>
          <w:sz w:val="24"/>
          <w:szCs w:val="24"/>
          <w:highlight w:val="none"/>
          <w:lang w:val="en-US" w:eastAsia="zh-CN"/>
        </w:rPr>
        <w:t>6</w:t>
      </w:r>
      <w:r>
        <w:rPr>
          <w:rFonts w:hint="eastAsia" w:ascii="方正仿宋_GB2312" w:hAnsi="方正仿宋_GB2312" w:eastAsia="方正仿宋_GB2312" w:cs="方正仿宋_GB2312"/>
          <w:color w:val="auto"/>
          <w:sz w:val="24"/>
          <w:szCs w:val="24"/>
          <w:highlight w:val="none"/>
        </w:rPr>
        <w:t>.政府采购履约资金扶持政策</w:t>
      </w:r>
    </w:p>
    <w:p w14:paraId="07767D0C">
      <w:pPr>
        <w:keepNext w:val="0"/>
        <w:keepLines w:val="0"/>
        <w:pageBreakBefore w:val="0"/>
        <w:widowControl w:val="0"/>
        <w:kinsoku/>
        <w:wordWrap/>
        <w:overflowPunct/>
        <w:topLinePunct w:val="0"/>
        <w:autoSpaceDE/>
        <w:autoSpaceDN/>
        <w:bidi w:val="0"/>
        <w:spacing w:line="380" w:lineRule="exact"/>
        <w:ind w:firstLine="480" w:firstLineChars="200"/>
        <w:textAlignment w:val="auto"/>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36.1中标供应商可凭政府采购合同办理融资贷款，详情请见江苏政府采购网“政采贷”专栏。</w:t>
      </w:r>
    </w:p>
    <w:p w14:paraId="50EFC9F0">
      <w:pPr>
        <w:keepNext w:val="0"/>
        <w:keepLines w:val="0"/>
        <w:pageBreakBefore w:val="0"/>
        <w:widowControl w:val="0"/>
        <w:kinsoku/>
        <w:wordWrap/>
        <w:overflowPunct/>
        <w:topLinePunct w:val="0"/>
        <w:autoSpaceDE/>
        <w:autoSpaceDN/>
        <w:bidi w:val="0"/>
        <w:spacing w:line="380" w:lineRule="exact"/>
        <w:ind w:firstLine="480" w:firstLineChars="200"/>
        <w:textAlignment w:val="auto"/>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36.2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14:paraId="44853F1A">
      <w:pPr>
        <w:keepNext w:val="0"/>
        <w:keepLines w:val="0"/>
        <w:pageBreakBefore w:val="0"/>
        <w:widowControl w:val="0"/>
        <w:kinsoku/>
        <w:wordWrap/>
        <w:overflowPunct/>
        <w:topLinePunct w:val="0"/>
        <w:autoSpaceDE/>
        <w:autoSpaceDN/>
        <w:bidi w:val="0"/>
        <w:spacing w:line="380" w:lineRule="exact"/>
        <w:ind w:firstLine="56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w:t>
      </w:r>
      <w:r>
        <w:rPr>
          <w:rFonts w:hint="eastAsia" w:ascii="方正仿宋_GB2312" w:hAnsi="方正仿宋_GB2312" w:eastAsia="方正仿宋_GB2312" w:cs="方正仿宋_GB2312"/>
          <w:color w:val="auto"/>
          <w:sz w:val="24"/>
          <w:szCs w:val="24"/>
          <w:highlight w:val="none"/>
          <w:lang w:val="en-US" w:eastAsia="zh-CN"/>
        </w:rPr>
        <w:t>6</w:t>
      </w: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3</w:t>
      </w:r>
      <w:r>
        <w:rPr>
          <w:rFonts w:hint="eastAsia" w:ascii="方正仿宋_GB2312" w:hAnsi="方正仿宋_GB2312" w:eastAsia="方正仿宋_GB2312" w:cs="方正仿宋_GB2312"/>
          <w:color w:val="auto"/>
          <w:sz w:val="24"/>
          <w:szCs w:val="24"/>
          <w:highlight w:val="none"/>
        </w:rPr>
        <w:t>有融资贷款需求的成交人，与采购人在苏采云【合同在线签订】模块中进行合同在线签订时，【账户信息完善】的“是否融资”一栏中需选择“是”，同时完善收款账号信息和合同补充协议（融资账号）。</w:t>
      </w:r>
    </w:p>
    <w:p w14:paraId="4DBF2CC7">
      <w:pPr>
        <w:keepNext w:val="0"/>
        <w:keepLines w:val="0"/>
        <w:pageBreakBefore w:val="0"/>
        <w:widowControl w:val="0"/>
        <w:kinsoku/>
        <w:wordWrap/>
        <w:overflowPunct/>
        <w:topLinePunct w:val="0"/>
        <w:autoSpaceDE/>
        <w:autoSpaceDN/>
        <w:bidi w:val="0"/>
        <w:adjustRightInd w:val="0"/>
        <w:snapToGrid w:val="0"/>
        <w:spacing w:line="380" w:lineRule="exact"/>
        <w:ind w:firstLine="480" w:firstLineChars="200"/>
        <w:textAlignment w:val="auto"/>
        <w:rPr>
          <w:rFonts w:hint="eastAsia" w:ascii="仿宋" w:hAnsi="仿宋" w:eastAsia="仿宋" w:cs="仿宋"/>
          <w:color w:val="auto"/>
          <w:sz w:val="24"/>
          <w:szCs w:val="24"/>
          <w:highlight w:val="none"/>
        </w:rPr>
      </w:pPr>
    </w:p>
    <w:p w14:paraId="4819CF71">
      <w:pPr>
        <w:pageBreakBefore w:val="0"/>
        <w:kinsoku/>
        <w:wordWrap/>
        <w:overflowPunct/>
        <w:topLinePunct w:val="0"/>
        <w:bidi w:val="0"/>
        <w:spacing w:line="380" w:lineRule="exact"/>
        <w:jc w:val="center"/>
        <w:outlineLvl w:val="0"/>
        <w:rPr>
          <w:rFonts w:hint="eastAsia" w:ascii="仿宋" w:hAnsi="仿宋" w:eastAsia="仿宋" w:cs="仿宋"/>
          <w:b/>
          <w:color w:val="auto"/>
          <w:sz w:val="30"/>
          <w:szCs w:val="30"/>
          <w:highlight w:val="none"/>
        </w:rPr>
      </w:pPr>
      <w:bookmarkStart w:id="32" w:name="OLE_LINK21"/>
    </w:p>
    <w:p w14:paraId="042E1CA6">
      <w:pPr>
        <w:pageBreakBefore w:val="0"/>
        <w:kinsoku/>
        <w:wordWrap/>
        <w:overflowPunct/>
        <w:topLinePunct w:val="0"/>
        <w:bidi w:val="0"/>
        <w:spacing w:line="380" w:lineRule="exact"/>
        <w:jc w:val="center"/>
        <w:outlineLvl w:val="0"/>
        <w:rPr>
          <w:rFonts w:hint="eastAsia" w:ascii="仿宋" w:hAnsi="仿宋" w:eastAsia="仿宋" w:cs="仿宋"/>
          <w:b/>
          <w:color w:val="auto"/>
          <w:sz w:val="30"/>
          <w:szCs w:val="30"/>
          <w:highlight w:val="none"/>
        </w:rPr>
      </w:pPr>
    </w:p>
    <w:p w14:paraId="6358B312">
      <w:pPr>
        <w:pageBreakBefore w:val="0"/>
        <w:kinsoku/>
        <w:wordWrap/>
        <w:overflowPunct/>
        <w:topLinePunct w:val="0"/>
        <w:bidi w:val="0"/>
        <w:spacing w:line="380" w:lineRule="exact"/>
        <w:jc w:val="center"/>
        <w:outlineLvl w:val="0"/>
        <w:rPr>
          <w:rFonts w:hint="eastAsia" w:ascii="仿宋" w:hAnsi="仿宋" w:eastAsia="仿宋" w:cs="仿宋"/>
          <w:b/>
          <w:color w:val="auto"/>
          <w:sz w:val="30"/>
          <w:szCs w:val="30"/>
          <w:highlight w:val="none"/>
        </w:rPr>
      </w:pPr>
    </w:p>
    <w:p w14:paraId="41B39A6E">
      <w:pPr>
        <w:pageBreakBefore w:val="0"/>
        <w:kinsoku/>
        <w:wordWrap/>
        <w:overflowPunct/>
        <w:topLinePunct w:val="0"/>
        <w:bidi w:val="0"/>
        <w:spacing w:line="380" w:lineRule="exact"/>
        <w:jc w:val="center"/>
        <w:outlineLvl w:val="0"/>
        <w:rPr>
          <w:rFonts w:hint="eastAsia" w:ascii="仿宋" w:hAnsi="仿宋" w:eastAsia="仿宋" w:cs="仿宋"/>
          <w:b/>
          <w:color w:val="auto"/>
          <w:sz w:val="30"/>
          <w:szCs w:val="30"/>
          <w:highlight w:val="none"/>
        </w:rPr>
      </w:pPr>
    </w:p>
    <w:p w14:paraId="54D37F93">
      <w:pPr>
        <w:pageBreakBefore w:val="0"/>
        <w:kinsoku/>
        <w:wordWrap/>
        <w:overflowPunct/>
        <w:topLinePunct w:val="0"/>
        <w:bidi w:val="0"/>
        <w:spacing w:line="380" w:lineRule="exact"/>
        <w:jc w:val="center"/>
        <w:outlineLvl w:val="0"/>
        <w:rPr>
          <w:rFonts w:hint="eastAsia" w:ascii="仿宋" w:hAnsi="仿宋" w:eastAsia="仿宋" w:cs="仿宋"/>
          <w:b/>
          <w:color w:val="auto"/>
          <w:sz w:val="30"/>
          <w:szCs w:val="30"/>
          <w:highlight w:val="none"/>
        </w:rPr>
      </w:pPr>
    </w:p>
    <w:p w14:paraId="1F741C0A">
      <w:pPr>
        <w:pageBreakBefore w:val="0"/>
        <w:kinsoku/>
        <w:wordWrap/>
        <w:overflowPunct/>
        <w:topLinePunct w:val="0"/>
        <w:bidi w:val="0"/>
        <w:spacing w:line="380" w:lineRule="exact"/>
        <w:jc w:val="center"/>
        <w:outlineLvl w:val="0"/>
        <w:rPr>
          <w:rFonts w:hint="eastAsia" w:ascii="仿宋" w:hAnsi="仿宋" w:eastAsia="仿宋" w:cs="仿宋"/>
          <w:b/>
          <w:color w:val="auto"/>
          <w:sz w:val="30"/>
          <w:szCs w:val="30"/>
          <w:highlight w:val="none"/>
        </w:rPr>
      </w:pPr>
    </w:p>
    <w:p w14:paraId="58DC2B43">
      <w:pPr>
        <w:pageBreakBefore w:val="0"/>
        <w:kinsoku/>
        <w:wordWrap/>
        <w:overflowPunct/>
        <w:topLinePunct w:val="0"/>
        <w:bidi w:val="0"/>
        <w:spacing w:line="380" w:lineRule="exact"/>
        <w:jc w:val="center"/>
        <w:outlineLvl w:val="0"/>
        <w:rPr>
          <w:rFonts w:hint="eastAsia" w:ascii="仿宋" w:hAnsi="仿宋" w:eastAsia="仿宋" w:cs="仿宋"/>
          <w:b/>
          <w:color w:val="auto"/>
          <w:sz w:val="30"/>
          <w:szCs w:val="30"/>
          <w:highlight w:val="none"/>
        </w:rPr>
      </w:pPr>
    </w:p>
    <w:p w14:paraId="0B72C773">
      <w:pPr>
        <w:pageBreakBefore w:val="0"/>
        <w:kinsoku/>
        <w:wordWrap/>
        <w:overflowPunct/>
        <w:topLinePunct w:val="0"/>
        <w:bidi w:val="0"/>
        <w:spacing w:line="380" w:lineRule="exact"/>
        <w:jc w:val="center"/>
        <w:outlineLvl w:val="0"/>
        <w:rPr>
          <w:rFonts w:hint="eastAsia" w:ascii="仿宋" w:hAnsi="仿宋" w:eastAsia="仿宋" w:cs="仿宋"/>
          <w:b/>
          <w:color w:val="auto"/>
          <w:sz w:val="30"/>
          <w:szCs w:val="30"/>
          <w:highlight w:val="none"/>
        </w:rPr>
      </w:pPr>
    </w:p>
    <w:p w14:paraId="6F9B5E9F">
      <w:pPr>
        <w:pageBreakBefore w:val="0"/>
        <w:kinsoku/>
        <w:wordWrap/>
        <w:overflowPunct/>
        <w:topLinePunct w:val="0"/>
        <w:bidi w:val="0"/>
        <w:spacing w:line="380" w:lineRule="exact"/>
        <w:jc w:val="center"/>
        <w:outlineLvl w:val="0"/>
        <w:rPr>
          <w:rFonts w:hint="eastAsia" w:ascii="仿宋" w:hAnsi="仿宋" w:eastAsia="仿宋" w:cs="仿宋"/>
          <w:b/>
          <w:color w:val="auto"/>
          <w:sz w:val="30"/>
          <w:szCs w:val="30"/>
          <w:highlight w:val="none"/>
        </w:rPr>
      </w:pPr>
    </w:p>
    <w:p w14:paraId="760C60C4">
      <w:pPr>
        <w:pageBreakBefore w:val="0"/>
        <w:kinsoku/>
        <w:wordWrap/>
        <w:overflowPunct/>
        <w:topLinePunct w:val="0"/>
        <w:bidi w:val="0"/>
        <w:spacing w:line="380" w:lineRule="exact"/>
        <w:jc w:val="both"/>
        <w:outlineLvl w:val="0"/>
        <w:rPr>
          <w:rFonts w:hint="eastAsia" w:ascii="仿宋" w:hAnsi="仿宋" w:eastAsia="仿宋" w:cs="仿宋"/>
          <w:b/>
          <w:color w:val="auto"/>
          <w:sz w:val="30"/>
          <w:szCs w:val="30"/>
          <w:highlight w:val="none"/>
        </w:rPr>
      </w:pPr>
    </w:p>
    <w:p w14:paraId="1FB96697">
      <w:pP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br w:type="page"/>
      </w:r>
    </w:p>
    <w:p w14:paraId="5CDADFFF">
      <w:pPr>
        <w:pageBreakBefore w:val="0"/>
        <w:kinsoku/>
        <w:wordWrap/>
        <w:overflowPunct/>
        <w:topLinePunct w:val="0"/>
        <w:bidi w:val="0"/>
        <w:spacing w:line="380" w:lineRule="exact"/>
        <w:jc w:val="center"/>
        <w:outlineLvl w:val="0"/>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第三章  评标标准</w:t>
      </w:r>
    </w:p>
    <w:p w14:paraId="095DEE6B">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rPr>
          <w:rFonts w:ascii="Times New Roman" w:hAnsi="Times New Roman" w:eastAsia="宋体" w:cs="Times New Roman"/>
          <w:color w:val="auto"/>
          <w:highlight w:val="none"/>
        </w:rPr>
      </w:pPr>
      <w:r>
        <w:rPr>
          <w:rFonts w:ascii="仿宋" w:hAnsi="仿宋" w:eastAsia="仿宋" w:cs="仿宋"/>
          <w:color w:val="auto"/>
          <w:sz w:val="24"/>
          <w:highlight w:val="none"/>
        </w:rPr>
        <w:t>一、本项目采用综合评分法进行评审。磋商小组仅对确定为实质上响应磋商文件要求的响应文件进行评价和比较。综合评分法，是指响应文件满足磋商文件全部要求且</w:t>
      </w:r>
      <w:r>
        <w:rPr>
          <w:rFonts w:hint="eastAsia" w:ascii="仿宋" w:hAnsi="仿宋" w:eastAsia="仿宋" w:cs="仿宋"/>
          <w:color w:val="auto"/>
          <w:sz w:val="24"/>
          <w:highlight w:val="none"/>
          <w:lang w:eastAsia="zh-CN"/>
        </w:rPr>
        <w:t>按照</w:t>
      </w:r>
      <w:r>
        <w:rPr>
          <w:rFonts w:ascii="仿宋" w:hAnsi="仿宋" w:eastAsia="仿宋" w:cs="仿宋"/>
          <w:color w:val="auto"/>
          <w:sz w:val="24"/>
          <w:highlight w:val="none"/>
        </w:rPr>
        <w:t>评审因素的量化指标评审得分最高的供应商为成交候选供应商的评标方法。</w:t>
      </w:r>
    </w:p>
    <w:p w14:paraId="4C473928">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rPr>
          <w:rFonts w:ascii="Times New Roman" w:hAnsi="Times New Roman" w:eastAsia="宋体" w:cs="Times New Roman"/>
          <w:color w:val="auto"/>
          <w:highlight w:val="none"/>
        </w:rPr>
      </w:pPr>
      <w:r>
        <w:rPr>
          <w:rFonts w:ascii="仿宋" w:hAnsi="仿宋" w:eastAsia="仿宋" w:cs="仿宋"/>
          <w:color w:val="auto"/>
          <w:sz w:val="24"/>
          <w:highlight w:val="none"/>
        </w:rPr>
        <w:t>二、</w:t>
      </w:r>
      <w:r>
        <w:rPr>
          <w:rFonts w:hint="eastAsia" w:ascii="仿宋" w:hAnsi="仿宋" w:eastAsia="仿宋" w:cs="仿宋"/>
          <w:color w:val="auto"/>
          <w:sz w:val="24"/>
          <w:highlight w:val="none"/>
        </w:rPr>
        <w:t>磋商小组将依据下列评标标准进行评审，本评标标准的总分为100分投标报价得分保留小数点后两位，小数点后第三位四舍五入)</w:t>
      </w:r>
      <w:r>
        <w:rPr>
          <w:rFonts w:ascii="仿宋" w:hAnsi="仿宋" w:eastAsia="仿宋" w:cs="仿宋"/>
          <w:color w:val="auto"/>
          <w:sz w:val="24"/>
          <w:highlight w:val="none"/>
        </w:rPr>
        <w:t>。</w:t>
      </w:r>
    </w:p>
    <w:p w14:paraId="51A853F6">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rPr>
          <w:rFonts w:ascii="Times New Roman" w:hAnsi="Times New Roman" w:eastAsia="宋体" w:cs="Times New Roman"/>
          <w:color w:val="auto"/>
          <w:highlight w:val="none"/>
        </w:rPr>
      </w:pPr>
      <w:r>
        <w:rPr>
          <w:rFonts w:ascii="仿宋" w:hAnsi="仿宋" w:eastAsia="仿宋" w:cs="仿宋"/>
          <w:color w:val="auto"/>
          <w:sz w:val="24"/>
          <w:highlight w:val="none"/>
        </w:rPr>
        <w:t>三、具体标准</w:t>
      </w:r>
      <w:r>
        <w:rPr>
          <w:rFonts w:hint="eastAsia" w:ascii="仿宋" w:hAnsi="仿宋" w:eastAsia="仿宋" w:cs="仿宋"/>
          <w:color w:val="auto"/>
          <w:sz w:val="24"/>
          <w:highlight w:val="none"/>
          <w:lang w:eastAsia="zh-CN"/>
        </w:rPr>
        <w:t>：</w:t>
      </w:r>
    </w:p>
    <w:p w14:paraId="0EF2D4C3">
      <w:pPr>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宋体" w:cs="Times New Roman"/>
          <w:color w:val="auto"/>
          <w:highlight w:val="none"/>
        </w:rPr>
      </w:pPr>
      <w:r>
        <w:rPr>
          <w:rFonts w:ascii="宋体" w:hAnsi="宋体" w:eastAsia="宋体" w:cs="宋体"/>
          <w:b/>
          <w:color w:val="auto"/>
          <w:sz w:val="28"/>
          <w:highlight w:val="none"/>
        </w:rPr>
        <w:t>综合评审因素和评分标准（100分）</w:t>
      </w:r>
    </w:p>
    <w:tbl>
      <w:tblPr>
        <w:tblStyle w:val="17"/>
        <w:tblW w:w="9295" w:type="dxa"/>
        <w:jc w:val="center"/>
        <w:tblLayout w:type="fixed"/>
        <w:tblCellMar>
          <w:top w:w="0" w:type="dxa"/>
          <w:left w:w="108" w:type="dxa"/>
          <w:bottom w:w="0" w:type="dxa"/>
          <w:right w:w="108" w:type="dxa"/>
        </w:tblCellMar>
      </w:tblPr>
      <w:tblGrid>
        <w:gridCol w:w="836"/>
        <w:gridCol w:w="677"/>
        <w:gridCol w:w="664"/>
        <w:gridCol w:w="5990"/>
        <w:gridCol w:w="1128"/>
      </w:tblGrid>
      <w:tr w14:paraId="46A23882">
        <w:tblPrEx>
          <w:tblCellMar>
            <w:top w:w="0" w:type="dxa"/>
            <w:left w:w="108" w:type="dxa"/>
            <w:bottom w:w="0" w:type="dxa"/>
            <w:right w:w="108" w:type="dxa"/>
          </w:tblCellMar>
        </w:tblPrEx>
        <w:trPr>
          <w:trHeight w:val="534"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14:paraId="1FC80D94">
            <w:pPr>
              <w:spacing w:line="360" w:lineRule="exact"/>
              <w:rPr>
                <w:rFonts w:ascii="宋体" w:hAnsi="宋体" w:cs="宋体"/>
                <w:b/>
                <w:bCs/>
                <w:color w:val="auto"/>
                <w:szCs w:val="21"/>
                <w:highlight w:val="none"/>
              </w:rPr>
            </w:pPr>
            <w:r>
              <w:rPr>
                <w:rFonts w:hint="eastAsia" w:ascii="宋体" w:hAnsi="宋体" w:cs="宋体"/>
                <w:b/>
                <w:bCs/>
                <w:color w:val="auto"/>
                <w:szCs w:val="21"/>
                <w:highlight w:val="none"/>
              </w:rPr>
              <w:t>序号</w:t>
            </w:r>
          </w:p>
        </w:tc>
        <w:tc>
          <w:tcPr>
            <w:tcW w:w="1341" w:type="dxa"/>
            <w:gridSpan w:val="2"/>
            <w:tcBorders>
              <w:top w:val="single" w:color="auto" w:sz="4" w:space="0"/>
              <w:left w:val="nil"/>
              <w:bottom w:val="single" w:color="auto" w:sz="4" w:space="0"/>
              <w:right w:val="single" w:color="auto" w:sz="4" w:space="0"/>
            </w:tcBorders>
            <w:noWrap w:val="0"/>
            <w:vAlign w:val="center"/>
          </w:tcPr>
          <w:p w14:paraId="7C620190">
            <w:pPr>
              <w:spacing w:line="360" w:lineRule="exact"/>
              <w:rPr>
                <w:rFonts w:ascii="宋体" w:hAnsi="宋体" w:cs="宋体"/>
                <w:b/>
                <w:bCs/>
                <w:color w:val="auto"/>
                <w:szCs w:val="21"/>
                <w:highlight w:val="none"/>
              </w:rPr>
            </w:pPr>
            <w:r>
              <w:rPr>
                <w:rFonts w:hint="eastAsia" w:ascii="宋体" w:hAnsi="宋体" w:cs="宋体"/>
                <w:b/>
                <w:bCs/>
                <w:color w:val="auto"/>
                <w:szCs w:val="21"/>
                <w:highlight w:val="none"/>
              </w:rPr>
              <w:t>评分因素</w:t>
            </w:r>
          </w:p>
        </w:tc>
        <w:tc>
          <w:tcPr>
            <w:tcW w:w="5990" w:type="dxa"/>
            <w:tcBorders>
              <w:top w:val="single" w:color="auto" w:sz="4" w:space="0"/>
              <w:left w:val="nil"/>
              <w:bottom w:val="single" w:color="auto" w:sz="4" w:space="0"/>
              <w:right w:val="single" w:color="auto" w:sz="4" w:space="0"/>
            </w:tcBorders>
            <w:noWrap w:val="0"/>
          </w:tcPr>
          <w:p w14:paraId="5A09A2D7">
            <w:pPr>
              <w:spacing w:line="360" w:lineRule="exact"/>
              <w:jc w:val="center"/>
              <w:rPr>
                <w:rFonts w:ascii="宋体" w:hAnsi="宋体" w:cs="宋体"/>
                <w:b/>
                <w:bCs/>
                <w:color w:val="auto"/>
                <w:szCs w:val="21"/>
                <w:highlight w:val="none"/>
              </w:rPr>
            </w:pPr>
            <w:r>
              <w:rPr>
                <w:rFonts w:hint="eastAsia" w:ascii="宋体" w:hAnsi="宋体" w:cs="宋体"/>
                <w:b/>
                <w:bCs/>
                <w:color w:val="auto"/>
                <w:szCs w:val="21"/>
                <w:highlight w:val="none"/>
              </w:rPr>
              <w:t>评审标准</w:t>
            </w:r>
          </w:p>
        </w:tc>
        <w:tc>
          <w:tcPr>
            <w:tcW w:w="1128" w:type="dxa"/>
            <w:tcBorders>
              <w:top w:val="single" w:color="auto" w:sz="4" w:space="0"/>
              <w:left w:val="nil"/>
              <w:bottom w:val="single" w:color="auto" w:sz="4" w:space="0"/>
              <w:right w:val="single" w:color="auto" w:sz="4" w:space="0"/>
            </w:tcBorders>
            <w:noWrap w:val="0"/>
            <w:vAlign w:val="center"/>
          </w:tcPr>
          <w:p w14:paraId="3A4B603D">
            <w:pPr>
              <w:spacing w:line="360" w:lineRule="exact"/>
              <w:rPr>
                <w:rFonts w:ascii="宋体" w:hAnsi="宋体" w:cs="宋体"/>
                <w:b/>
                <w:bCs/>
                <w:color w:val="auto"/>
                <w:szCs w:val="21"/>
                <w:highlight w:val="none"/>
              </w:rPr>
            </w:pPr>
            <w:r>
              <w:rPr>
                <w:rFonts w:hint="eastAsia" w:ascii="宋体" w:hAnsi="宋体" w:cs="宋体"/>
                <w:b/>
                <w:bCs/>
                <w:color w:val="auto"/>
                <w:szCs w:val="21"/>
                <w:highlight w:val="none"/>
              </w:rPr>
              <w:t>分值</w:t>
            </w:r>
          </w:p>
        </w:tc>
      </w:tr>
      <w:tr w14:paraId="0C339767">
        <w:tblPrEx>
          <w:tblCellMar>
            <w:top w:w="0" w:type="dxa"/>
            <w:left w:w="108" w:type="dxa"/>
            <w:bottom w:w="0" w:type="dxa"/>
            <w:right w:w="108" w:type="dxa"/>
          </w:tblCellMar>
        </w:tblPrEx>
        <w:trPr>
          <w:trHeight w:val="90"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14:paraId="6E57809A">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1</w:t>
            </w:r>
          </w:p>
        </w:tc>
        <w:tc>
          <w:tcPr>
            <w:tcW w:w="1341" w:type="dxa"/>
            <w:gridSpan w:val="2"/>
            <w:tcBorders>
              <w:top w:val="single" w:color="auto" w:sz="4" w:space="0"/>
              <w:left w:val="nil"/>
              <w:bottom w:val="single" w:color="auto" w:sz="4" w:space="0"/>
              <w:right w:val="single" w:color="auto" w:sz="4" w:space="0"/>
            </w:tcBorders>
            <w:noWrap w:val="0"/>
            <w:vAlign w:val="center"/>
          </w:tcPr>
          <w:p w14:paraId="5DACA049">
            <w:pPr>
              <w:spacing w:line="360" w:lineRule="exact"/>
              <w:jc w:val="center"/>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投标报价</w:t>
            </w:r>
          </w:p>
          <w:p w14:paraId="4550F391">
            <w:pPr>
              <w:spacing w:line="360" w:lineRule="exact"/>
              <w:jc w:val="center"/>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w:t>
            </w:r>
            <w:r>
              <w:rPr>
                <w:rFonts w:hint="eastAsia" w:cs="Times New Roman"/>
                <w:color w:val="auto"/>
                <w:highlight w:val="none"/>
                <w:lang w:val="en-US" w:eastAsia="zh-CN"/>
              </w:rPr>
              <w:t>0</w:t>
            </w:r>
            <w:r>
              <w:rPr>
                <w:rFonts w:hint="eastAsia" w:ascii="Times New Roman" w:hAnsi="Times New Roman" w:eastAsia="宋体" w:cs="Times New Roman"/>
                <w:color w:val="auto"/>
                <w:highlight w:val="none"/>
                <w:lang w:val="en-US" w:eastAsia="zh-CN"/>
              </w:rPr>
              <w:t>分）</w:t>
            </w:r>
          </w:p>
        </w:tc>
        <w:tc>
          <w:tcPr>
            <w:tcW w:w="5990" w:type="dxa"/>
            <w:tcBorders>
              <w:top w:val="single" w:color="auto" w:sz="4" w:space="0"/>
              <w:left w:val="nil"/>
              <w:bottom w:val="single" w:color="auto" w:sz="4" w:space="0"/>
              <w:right w:val="single" w:color="auto" w:sz="4" w:space="0"/>
            </w:tcBorders>
            <w:noWrap w:val="0"/>
          </w:tcPr>
          <w:p w14:paraId="452656D3">
            <w:pPr>
              <w:numPr>
                <w:ilvl w:val="0"/>
                <w:numId w:val="2"/>
              </w:numPr>
              <w:spacing w:line="360" w:lineRule="exac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价格分采用低价优先法计算，满足磋商文件要求且最终报价最低为磋商基准价，其价格分为满分。</w:t>
            </w:r>
          </w:p>
          <w:p w14:paraId="3069B520">
            <w:pPr>
              <w:numPr>
                <w:ilvl w:val="0"/>
                <w:numId w:val="0"/>
              </w:numPr>
              <w:spacing w:line="360" w:lineRule="exac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2.其他供应商的价格分统一按照下列公式计算（小数点保留两位）：</w:t>
            </w:r>
          </w:p>
          <w:p w14:paraId="150FD906">
            <w:pPr>
              <w:spacing w:line="360" w:lineRule="exact"/>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磋商报价得分＝（磋商基准价/最终磋商报价）×3</w:t>
            </w:r>
            <w:r>
              <w:rPr>
                <w:rFonts w:hint="eastAsia" w:cs="Times New Roman"/>
                <w:color w:val="auto"/>
                <w:highlight w:val="none"/>
                <w:lang w:val="en-US" w:eastAsia="zh-CN"/>
              </w:rPr>
              <w:t>0</w:t>
            </w:r>
            <w:r>
              <w:rPr>
                <w:rFonts w:hint="eastAsia" w:ascii="Times New Roman" w:hAnsi="Times New Roman" w:eastAsia="宋体" w:cs="Times New Roman"/>
                <w:color w:val="auto"/>
                <w:highlight w:val="none"/>
                <w:lang w:val="en-US" w:eastAsia="zh-CN"/>
              </w:rPr>
              <w:t>分</w:t>
            </w:r>
          </w:p>
        </w:tc>
        <w:tc>
          <w:tcPr>
            <w:tcW w:w="1128" w:type="dxa"/>
            <w:tcBorders>
              <w:top w:val="single" w:color="auto" w:sz="4" w:space="0"/>
              <w:left w:val="nil"/>
              <w:bottom w:val="single" w:color="auto" w:sz="4" w:space="0"/>
              <w:right w:val="single" w:color="auto" w:sz="4" w:space="0"/>
            </w:tcBorders>
            <w:noWrap w:val="0"/>
            <w:vAlign w:val="center"/>
          </w:tcPr>
          <w:p w14:paraId="21A9BAE5">
            <w:pPr>
              <w:spacing w:line="360" w:lineRule="exact"/>
              <w:jc w:val="center"/>
              <w:rPr>
                <w:rFonts w:hint="default" w:ascii="宋体" w:hAnsi="宋体" w:cs="宋体" w:eastAsiaTheme="minorEastAsia"/>
                <w:color w:val="auto"/>
                <w:szCs w:val="21"/>
                <w:highlight w:val="none"/>
                <w:lang w:val="en-US" w:eastAsia="zh-CN"/>
              </w:rPr>
            </w:pPr>
            <w:r>
              <w:rPr>
                <w:rFonts w:hint="eastAsia" w:ascii="宋体" w:hAnsi="宋体" w:cs="宋体"/>
                <w:color w:val="auto"/>
                <w:szCs w:val="21"/>
                <w:highlight w:val="none"/>
                <w:lang w:val="en-US" w:eastAsia="zh-CN"/>
              </w:rPr>
              <w:t>30</w:t>
            </w:r>
          </w:p>
        </w:tc>
      </w:tr>
      <w:tr w14:paraId="3B7FDCF2">
        <w:tblPrEx>
          <w:tblCellMar>
            <w:top w:w="0" w:type="dxa"/>
            <w:left w:w="108" w:type="dxa"/>
            <w:bottom w:w="0" w:type="dxa"/>
            <w:right w:w="108" w:type="dxa"/>
          </w:tblCellMar>
        </w:tblPrEx>
        <w:trPr>
          <w:trHeight w:val="1545" w:hRule="atLeast"/>
          <w:jc w:val="center"/>
        </w:trPr>
        <w:tc>
          <w:tcPr>
            <w:tcW w:w="836" w:type="dxa"/>
            <w:tcBorders>
              <w:left w:val="single" w:color="auto" w:sz="4" w:space="0"/>
              <w:bottom w:val="single" w:color="auto" w:sz="4" w:space="0"/>
              <w:right w:val="single" w:color="auto" w:sz="4" w:space="0"/>
            </w:tcBorders>
            <w:noWrap w:val="0"/>
            <w:vAlign w:val="center"/>
          </w:tcPr>
          <w:p w14:paraId="1FCC1C5D">
            <w:pPr>
              <w:spacing w:line="360" w:lineRule="exact"/>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w:t>
            </w:r>
          </w:p>
        </w:tc>
        <w:tc>
          <w:tcPr>
            <w:tcW w:w="1341" w:type="dxa"/>
            <w:gridSpan w:val="2"/>
            <w:tcBorders>
              <w:left w:val="nil"/>
              <w:bottom w:val="single" w:color="auto" w:sz="4" w:space="0"/>
              <w:right w:val="single" w:color="auto" w:sz="4" w:space="0"/>
            </w:tcBorders>
            <w:noWrap w:val="0"/>
            <w:vAlign w:val="center"/>
          </w:tcPr>
          <w:p w14:paraId="3DD5551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项目组成员（5分）</w:t>
            </w:r>
          </w:p>
        </w:tc>
        <w:tc>
          <w:tcPr>
            <w:tcW w:w="5990" w:type="dxa"/>
            <w:tcBorders>
              <w:top w:val="single" w:color="auto" w:sz="4" w:space="0"/>
              <w:left w:val="nil"/>
              <w:bottom w:val="single" w:color="auto" w:sz="4" w:space="0"/>
              <w:right w:val="single" w:color="auto" w:sz="4" w:space="0"/>
            </w:tcBorders>
            <w:noWrap w:val="0"/>
            <w:vAlign w:val="center"/>
          </w:tcPr>
          <w:p w14:paraId="30335A02">
            <w:pPr>
              <w:spacing w:line="360" w:lineRule="exac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拟派项目组成员具有建设工程类高级工程师职称得5分，工程师证得2分。本项最高5分。</w:t>
            </w:r>
          </w:p>
          <w:p w14:paraId="6E60AC10">
            <w:pPr>
              <w:spacing w:line="360" w:lineRule="exact"/>
              <w:rPr>
                <w:rFonts w:hint="default"/>
                <w:color w:val="auto"/>
                <w:highlight w:val="none"/>
                <w:lang w:val="en-US" w:eastAsia="zh-CN"/>
              </w:rPr>
            </w:pPr>
            <w:r>
              <w:rPr>
                <w:rFonts w:hint="eastAsia" w:ascii="Times New Roman" w:hAnsi="Times New Roman" w:eastAsia="宋体" w:cs="Times New Roman"/>
                <w:color w:val="auto"/>
                <w:highlight w:val="none"/>
                <w:lang w:val="en-US" w:eastAsia="zh-CN"/>
              </w:rPr>
              <w:t>注：提供相关证书和投标供应商为其缴纳的2025年</w:t>
            </w:r>
            <w:r>
              <w:rPr>
                <w:rFonts w:hint="eastAsia" w:cs="Times New Roman"/>
                <w:color w:val="auto"/>
                <w:highlight w:val="none"/>
                <w:lang w:val="en-US" w:eastAsia="zh-CN"/>
              </w:rPr>
              <w:t>9</w:t>
            </w:r>
            <w:r>
              <w:rPr>
                <w:rFonts w:hint="eastAsia" w:ascii="Times New Roman" w:hAnsi="Times New Roman" w:eastAsia="宋体" w:cs="Times New Roman"/>
                <w:color w:val="auto"/>
                <w:highlight w:val="none"/>
                <w:lang w:val="en-US" w:eastAsia="zh-CN"/>
              </w:rPr>
              <w:t>月以来任意1个月的社保证明。</w:t>
            </w:r>
          </w:p>
        </w:tc>
        <w:tc>
          <w:tcPr>
            <w:tcW w:w="1128" w:type="dxa"/>
            <w:tcBorders>
              <w:top w:val="single" w:color="auto" w:sz="4" w:space="0"/>
              <w:left w:val="nil"/>
              <w:bottom w:val="single" w:color="auto" w:sz="4" w:space="0"/>
              <w:right w:val="single" w:color="auto" w:sz="4" w:space="0"/>
            </w:tcBorders>
            <w:noWrap w:val="0"/>
            <w:vAlign w:val="center"/>
          </w:tcPr>
          <w:p w14:paraId="3B7E4D8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center"/>
              <w:rPr>
                <w:rFonts w:hint="default" w:ascii="宋体" w:hAnsi="宋体"/>
                <w:color w:val="auto"/>
                <w:highlight w:val="none"/>
                <w:lang w:val="en-US" w:eastAsia="zh-CN"/>
              </w:rPr>
            </w:pPr>
            <w:r>
              <w:rPr>
                <w:rFonts w:hint="eastAsia" w:ascii="宋体" w:hAnsi="宋体"/>
                <w:color w:val="auto"/>
                <w:highlight w:val="none"/>
                <w:lang w:val="en-US" w:eastAsia="zh-CN"/>
              </w:rPr>
              <w:t>5</w:t>
            </w:r>
          </w:p>
        </w:tc>
      </w:tr>
      <w:tr w14:paraId="22FA0884">
        <w:tblPrEx>
          <w:tblCellMar>
            <w:top w:w="0" w:type="dxa"/>
            <w:left w:w="108" w:type="dxa"/>
            <w:bottom w:w="0" w:type="dxa"/>
            <w:right w:w="108" w:type="dxa"/>
          </w:tblCellMar>
        </w:tblPrEx>
        <w:trPr>
          <w:trHeight w:val="829" w:hRule="atLeast"/>
          <w:jc w:val="center"/>
        </w:trPr>
        <w:tc>
          <w:tcPr>
            <w:tcW w:w="836" w:type="dxa"/>
            <w:tcBorders>
              <w:left w:val="single" w:color="auto" w:sz="4" w:space="0"/>
              <w:bottom w:val="single" w:color="auto" w:sz="4" w:space="0"/>
              <w:right w:val="single" w:color="auto" w:sz="4" w:space="0"/>
            </w:tcBorders>
            <w:noWrap w:val="0"/>
            <w:vAlign w:val="center"/>
          </w:tcPr>
          <w:p w14:paraId="7725288E">
            <w:pPr>
              <w:spacing w:line="360" w:lineRule="exact"/>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3</w:t>
            </w:r>
          </w:p>
        </w:tc>
        <w:tc>
          <w:tcPr>
            <w:tcW w:w="1341" w:type="dxa"/>
            <w:gridSpan w:val="2"/>
            <w:tcBorders>
              <w:left w:val="nil"/>
              <w:bottom w:val="single" w:color="auto" w:sz="4" w:space="0"/>
              <w:right w:val="single" w:color="auto" w:sz="4" w:space="0"/>
            </w:tcBorders>
            <w:noWrap w:val="0"/>
            <w:vAlign w:val="center"/>
          </w:tcPr>
          <w:p w14:paraId="5FAB866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企业业绩</w:t>
            </w:r>
          </w:p>
          <w:p w14:paraId="47AB6A6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default"/>
                <w:color w:val="auto"/>
                <w:highlight w:val="none"/>
                <w:lang w:val="en-US" w:eastAsia="zh-CN"/>
              </w:rPr>
            </w:pPr>
            <w:r>
              <w:rPr>
                <w:rFonts w:hint="eastAsia" w:ascii="宋体" w:hAnsi="宋体" w:cs="宋体"/>
                <w:color w:val="auto"/>
                <w:szCs w:val="21"/>
                <w:highlight w:val="none"/>
                <w:lang w:val="en-US" w:eastAsia="zh-CN"/>
              </w:rPr>
              <w:t>（6分）</w:t>
            </w:r>
          </w:p>
        </w:tc>
        <w:tc>
          <w:tcPr>
            <w:tcW w:w="5990" w:type="dxa"/>
            <w:tcBorders>
              <w:top w:val="single" w:color="auto" w:sz="4" w:space="0"/>
              <w:left w:val="nil"/>
              <w:bottom w:val="single" w:color="auto" w:sz="4" w:space="0"/>
              <w:right w:val="single" w:color="auto" w:sz="4" w:space="0"/>
            </w:tcBorders>
            <w:noWrap w:val="0"/>
            <w:vAlign w:val="center"/>
          </w:tcPr>
          <w:p w14:paraId="43D6F2A3">
            <w:pPr>
              <w:spacing w:line="360" w:lineRule="exact"/>
              <w:rPr>
                <w:rFonts w:hint="eastAsia" w:cs="Times New Roman"/>
                <w:color w:val="auto"/>
                <w:highlight w:val="none"/>
                <w:lang w:val="en-US" w:eastAsia="zh-CN"/>
              </w:rPr>
            </w:pPr>
            <w:r>
              <w:rPr>
                <w:rFonts w:hint="eastAsia" w:cs="Times New Roman"/>
                <w:color w:val="auto"/>
                <w:highlight w:val="none"/>
                <w:lang w:val="en-US" w:eastAsia="zh-CN"/>
              </w:rPr>
              <w:t>2021年11月1日以来的类似业绩，有一项得2分，最高得6分。</w:t>
            </w:r>
          </w:p>
          <w:p w14:paraId="128D9F23">
            <w:pPr>
              <w:spacing w:line="360" w:lineRule="exact"/>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提供中标通知书、项目合同和竣工验收证明复印件，加盖供应商公章，上传电子响应文件。</w:t>
            </w:r>
          </w:p>
        </w:tc>
        <w:tc>
          <w:tcPr>
            <w:tcW w:w="1128" w:type="dxa"/>
            <w:tcBorders>
              <w:top w:val="single" w:color="auto" w:sz="4" w:space="0"/>
              <w:left w:val="nil"/>
              <w:bottom w:val="single" w:color="auto" w:sz="4" w:space="0"/>
              <w:right w:val="single" w:color="auto" w:sz="4" w:space="0"/>
            </w:tcBorders>
            <w:noWrap w:val="0"/>
            <w:vAlign w:val="center"/>
          </w:tcPr>
          <w:p w14:paraId="1DD2D77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center"/>
              <w:rPr>
                <w:rFonts w:hint="default" w:ascii="宋体" w:hAnsi="宋体"/>
                <w:color w:val="auto"/>
                <w:highlight w:val="none"/>
                <w:lang w:val="en-US" w:eastAsia="zh-CN"/>
              </w:rPr>
            </w:pPr>
            <w:r>
              <w:rPr>
                <w:rFonts w:hint="eastAsia" w:ascii="宋体" w:hAnsi="宋体"/>
                <w:color w:val="auto"/>
                <w:highlight w:val="none"/>
                <w:lang w:val="en-US" w:eastAsia="zh-CN"/>
              </w:rPr>
              <w:t>6</w:t>
            </w:r>
          </w:p>
        </w:tc>
      </w:tr>
      <w:tr w14:paraId="1776176F">
        <w:tblPrEx>
          <w:tblCellMar>
            <w:top w:w="0" w:type="dxa"/>
            <w:left w:w="108" w:type="dxa"/>
            <w:bottom w:w="0" w:type="dxa"/>
            <w:right w:w="108" w:type="dxa"/>
          </w:tblCellMar>
        </w:tblPrEx>
        <w:trPr>
          <w:trHeight w:val="90" w:hRule="atLeast"/>
          <w:jc w:val="center"/>
        </w:trPr>
        <w:tc>
          <w:tcPr>
            <w:tcW w:w="836" w:type="dxa"/>
            <w:vMerge w:val="restart"/>
            <w:tcBorders>
              <w:top w:val="single" w:color="auto" w:sz="4" w:space="0"/>
              <w:left w:val="single" w:color="auto" w:sz="4" w:space="0"/>
              <w:bottom w:val="single" w:color="auto" w:sz="4" w:space="0"/>
              <w:right w:val="single" w:color="auto" w:sz="4" w:space="0"/>
            </w:tcBorders>
            <w:noWrap w:val="0"/>
            <w:vAlign w:val="center"/>
          </w:tcPr>
          <w:p w14:paraId="4BD92B1D">
            <w:pPr>
              <w:spacing w:line="360" w:lineRule="exac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4</w:t>
            </w:r>
          </w:p>
        </w:tc>
        <w:tc>
          <w:tcPr>
            <w:tcW w:w="677" w:type="dxa"/>
            <w:vMerge w:val="restart"/>
            <w:tcBorders>
              <w:top w:val="single" w:color="auto" w:sz="4" w:space="0"/>
              <w:left w:val="single" w:color="auto" w:sz="4" w:space="0"/>
              <w:bottom w:val="single" w:color="auto" w:sz="4" w:space="0"/>
              <w:right w:val="single" w:color="auto" w:sz="4" w:space="0"/>
            </w:tcBorders>
            <w:noWrap w:val="0"/>
            <w:vAlign w:val="center"/>
          </w:tcPr>
          <w:p w14:paraId="449FEDE0">
            <w:pPr>
              <w:spacing w:line="360" w:lineRule="exact"/>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技术部分</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59</w:t>
            </w:r>
            <w:r>
              <w:rPr>
                <w:rFonts w:hint="eastAsia" w:ascii="宋体" w:hAnsi="宋体" w:cs="宋体"/>
                <w:color w:val="auto"/>
                <w:szCs w:val="21"/>
                <w:highlight w:val="none"/>
              </w:rPr>
              <w:t>分）</w:t>
            </w:r>
          </w:p>
        </w:tc>
        <w:tc>
          <w:tcPr>
            <w:tcW w:w="664"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36D9ED94">
            <w:pPr>
              <w:spacing w:line="360" w:lineRule="exact"/>
              <w:jc w:val="left"/>
              <w:rPr>
                <w:rFonts w:ascii="宋体" w:hAnsi="宋体" w:cs="宋体"/>
                <w:color w:val="auto"/>
                <w:szCs w:val="21"/>
                <w:highlight w:val="none"/>
              </w:rPr>
            </w:pPr>
            <w:r>
              <w:rPr>
                <w:rFonts w:hint="eastAsia"/>
                <w:color w:val="auto"/>
                <w:highlight w:val="none"/>
              </w:rPr>
              <w:t>施工组织设计</w:t>
            </w:r>
            <w:r>
              <w:rPr>
                <w:rFonts w:hint="eastAsia" w:ascii="宋体" w:hAnsi="宋体" w:cs="宋体"/>
                <w:color w:val="auto"/>
                <w:szCs w:val="21"/>
                <w:highlight w:val="none"/>
              </w:rPr>
              <w:t xml:space="preserve">     </w:t>
            </w:r>
          </w:p>
          <w:p w14:paraId="1BE6063F">
            <w:pPr>
              <w:spacing w:line="360" w:lineRule="exact"/>
              <w:rPr>
                <w:rFonts w:ascii="宋体" w:hAnsi="宋体" w:eastAsia="宋体" w:cs="宋体"/>
                <w:color w:val="auto"/>
                <w:sz w:val="21"/>
                <w:szCs w:val="21"/>
                <w:highlight w:val="none"/>
                <w:lang w:val="en-US" w:eastAsia="zh-CN" w:bidi="ar-SA"/>
              </w:rPr>
            </w:pPr>
          </w:p>
        </w:tc>
        <w:tc>
          <w:tcPr>
            <w:tcW w:w="59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33CD1D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hint="default" w:ascii="宋体" w:hAnsi="宋体" w:eastAsia="宋体" w:cs="宋体"/>
                <w:b/>
                <w:bCs/>
                <w:color w:val="auto"/>
                <w:szCs w:val="21"/>
                <w:highlight w:val="none"/>
                <w:lang w:val="en-US" w:eastAsia="zh-CN"/>
              </w:rPr>
            </w:pPr>
            <w:r>
              <w:rPr>
                <w:rFonts w:hint="default" w:ascii="宋体" w:hAnsi="宋体" w:eastAsia="宋体" w:cs="宋体"/>
                <w:b/>
                <w:bCs/>
                <w:color w:val="auto"/>
                <w:szCs w:val="21"/>
                <w:highlight w:val="none"/>
                <w:lang w:val="en-US" w:eastAsia="zh-CN"/>
              </w:rPr>
              <w:t>施工组织总体设想、方</w:t>
            </w:r>
            <w:r>
              <w:rPr>
                <w:rFonts w:hint="eastAsia" w:ascii="宋体" w:hAnsi="宋体" w:cs="宋体"/>
                <w:b/>
                <w:bCs/>
                <w:color w:val="auto"/>
                <w:szCs w:val="21"/>
                <w:highlight w:val="none"/>
                <w:lang w:val="en-US" w:eastAsia="zh-CN"/>
              </w:rPr>
              <w:t>案。</w:t>
            </w:r>
            <w:r>
              <w:rPr>
                <w:rFonts w:hint="default" w:ascii="宋体" w:hAnsi="宋体" w:eastAsia="宋体" w:cs="宋体"/>
                <w:b/>
                <w:bCs/>
                <w:color w:val="auto"/>
                <w:szCs w:val="21"/>
                <w:highlight w:val="none"/>
                <w:lang w:val="en-US" w:eastAsia="zh-CN"/>
              </w:rPr>
              <w:t>满分（</w:t>
            </w:r>
            <w:r>
              <w:rPr>
                <w:rFonts w:hint="eastAsia" w:ascii="宋体" w:hAnsi="宋体" w:cs="宋体"/>
                <w:b/>
                <w:bCs/>
                <w:color w:val="auto"/>
                <w:szCs w:val="21"/>
                <w:highlight w:val="none"/>
                <w:lang w:val="en-US" w:eastAsia="zh-CN"/>
              </w:rPr>
              <w:t>10</w:t>
            </w:r>
            <w:r>
              <w:rPr>
                <w:rFonts w:hint="default" w:ascii="宋体" w:hAnsi="宋体" w:eastAsia="宋体" w:cs="宋体"/>
                <w:b/>
                <w:bCs/>
                <w:color w:val="auto"/>
                <w:szCs w:val="21"/>
                <w:highlight w:val="none"/>
                <w:lang w:val="en-US" w:eastAsia="zh-CN"/>
              </w:rPr>
              <w:t>分）</w:t>
            </w:r>
          </w:p>
          <w:p w14:paraId="264EA874">
            <w:pPr>
              <w:numPr>
                <w:ilvl w:val="0"/>
                <w:numId w:val="3"/>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施工组织总体设想科学合理，完全贴合本项目采购要求、项目规模及现场实际情况，思路清晰、统筹性强（</w:t>
            </w:r>
            <w:r>
              <w:rPr>
                <w:rFonts w:hint="eastAsia" w:ascii="宋体" w:hAnsi="宋体" w:cs="宋体"/>
                <w:color w:val="auto"/>
                <w:szCs w:val="21"/>
                <w:highlight w:val="none"/>
                <w:lang w:val="en-US" w:eastAsia="zh-CN"/>
              </w:rPr>
              <w:t>10</w:t>
            </w:r>
            <w:r>
              <w:rPr>
                <w:rFonts w:hint="default" w:ascii="宋体" w:hAnsi="宋体" w:eastAsia="宋体" w:cs="宋体"/>
                <w:color w:val="auto"/>
                <w:szCs w:val="21"/>
                <w:highlight w:val="none"/>
                <w:lang w:val="en-US" w:eastAsia="zh-CN"/>
              </w:rPr>
              <w:t>分）；</w:t>
            </w:r>
          </w:p>
          <w:p w14:paraId="12CC3ED7">
            <w:pPr>
              <w:numPr>
                <w:ilvl w:val="0"/>
                <w:numId w:val="3"/>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0" w:leftChars="0" w:firstLine="0" w:firstLineChars="0"/>
              <w:jc w:val="lef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施工组织总体设想较合理，基本贴合本项目采购要求，思路较清晰</w:t>
            </w:r>
            <w:r>
              <w:rPr>
                <w:rFonts w:hint="eastAsia" w:ascii="宋体" w:hAnsi="宋体" w:cs="宋体"/>
                <w:color w:val="auto"/>
                <w:szCs w:val="21"/>
                <w:highlight w:val="none"/>
                <w:lang w:val="en-US" w:eastAsia="zh-CN"/>
              </w:rPr>
              <w:t>，具</w:t>
            </w:r>
            <w:r>
              <w:rPr>
                <w:rFonts w:hint="default" w:ascii="宋体" w:hAnsi="宋体" w:eastAsia="宋体" w:cs="宋体"/>
                <w:color w:val="auto"/>
                <w:szCs w:val="21"/>
                <w:highlight w:val="none"/>
                <w:lang w:val="en-US" w:eastAsia="zh-CN"/>
              </w:rPr>
              <w:t>有一定统筹性（</w:t>
            </w:r>
            <w:r>
              <w:rPr>
                <w:rFonts w:hint="eastAsia" w:ascii="宋体" w:hAnsi="宋体" w:cs="宋体"/>
                <w:color w:val="auto"/>
                <w:szCs w:val="21"/>
                <w:highlight w:val="none"/>
                <w:lang w:val="en-US" w:eastAsia="zh-CN"/>
              </w:rPr>
              <w:t>7</w:t>
            </w:r>
            <w:r>
              <w:rPr>
                <w:rFonts w:hint="default" w:ascii="宋体" w:hAnsi="宋体" w:eastAsia="宋体" w:cs="宋体"/>
                <w:color w:val="auto"/>
                <w:szCs w:val="21"/>
                <w:highlight w:val="none"/>
                <w:lang w:val="en-US" w:eastAsia="zh-CN"/>
              </w:rPr>
              <w:t>分）；</w:t>
            </w:r>
          </w:p>
          <w:p w14:paraId="051F0B7C">
            <w:pPr>
              <w:numPr>
                <w:ilvl w:val="0"/>
                <w:numId w:val="3"/>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0" w:leftChars="0" w:firstLine="0" w:firstLineChars="0"/>
              <w:jc w:val="lef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施工组织总体设想简单，与本项目采购要求有偏差，思路不清晰，缺乏统筹性（</w:t>
            </w:r>
            <w:r>
              <w:rPr>
                <w:rFonts w:hint="eastAsia" w:ascii="宋体" w:hAnsi="宋体" w:cs="宋体"/>
                <w:color w:val="auto"/>
                <w:szCs w:val="21"/>
                <w:highlight w:val="none"/>
                <w:lang w:val="en-US" w:eastAsia="zh-CN"/>
              </w:rPr>
              <w:t>3</w:t>
            </w:r>
            <w:r>
              <w:rPr>
                <w:rFonts w:hint="default" w:ascii="宋体" w:hAnsi="宋体" w:eastAsia="宋体" w:cs="宋体"/>
                <w:color w:val="auto"/>
                <w:szCs w:val="21"/>
                <w:highlight w:val="none"/>
                <w:lang w:val="en-US" w:eastAsia="zh-CN"/>
              </w:rPr>
              <w:t>分）；</w:t>
            </w:r>
          </w:p>
          <w:p w14:paraId="2AF1DB68">
            <w:pPr>
              <w:numPr>
                <w:ilvl w:val="0"/>
                <w:numId w:val="0"/>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0"/>
              <w:jc w:val="lef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4. 未提供施工组织总体设想或内容严重不符（0分）。</w:t>
            </w:r>
          </w:p>
        </w:tc>
        <w:tc>
          <w:tcPr>
            <w:tcW w:w="1128" w:type="dxa"/>
            <w:tcBorders>
              <w:top w:val="single" w:color="auto" w:sz="4" w:space="0"/>
              <w:left w:val="single" w:color="auto" w:sz="4" w:space="0"/>
              <w:bottom w:val="single" w:color="auto" w:sz="4" w:space="0"/>
              <w:right w:val="single" w:color="auto" w:sz="4" w:space="0"/>
            </w:tcBorders>
            <w:noWrap w:val="0"/>
            <w:vAlign w:val="center"/>
          </w:tcPr>
          <w:p w14:paraId="7F30122D">
            <w:pPr>
              <w:spacing w:line="360" w:lineRule="exact"/>
              <w:jc w:val="center"/>
              <w:rPr>
                <w:rFonts w:hint="default" w:ascii="宋体" w:hAnsi="宋体" w:cs="宋体" w:eastAsiaTheme="minorEastAsia"/>
                <w:color w:val="auto"/>
                <w:szCs w:val="21"/>
                <w:highlight w:val="none"/>
                <w:lang w:val="en-US" w:eastAsia="zh-CN"/>
              </w:rPr>
            </w:pPr>
            <w:r>
              <w:rPr>
                <w:rFonts w:hint="eastAsia" w:ascii="宋体" w:hAnsi="宋体" w:cs="宋体"/>
                <w:color w:val="auto"/>
                <w:szCs w:val="21"/>
                <w:highlight w:val="none"/>
                <w:lang w:val="en-US" w:eastAsia="zh-CN"/>
              </w:rPr>
              <w:t>10</w:t>
            </w:r>
          </w:p>
        </w:tc>
      </w:tr>
      <w:tr w14:paraId="2EA39E45">
        <w:tblPrEx>
          <w:tblCellMar>
            <w:top w:w="0" w:type="dxa"/>
            <w:left w:w="108" w:type="dxa"/>
            <w:bottom w:w="0" w:type="dxa"/>
            <w:right w:w="108" w:type="dxa"/>
          </w:tblCellMar>
        </w:tblPrEx>
        <w:trPr>
          <w:trHeight w:val="546" w:hRule="atLeast"/>
          <w:jc w:val="center"/>
        </w:trPr>
        <w:tc>
          <w:tcPr>
            <w:tcW w:w="836" w:type="dxa"/>
            <w:vMerge w:val="continue"/>
            <w:tcBorders>
              <w:top w:val="single" w:color="auto" w:sz="4" w:space="0"/>
              <w:left w:val="single" w:color="auto" w:sz="4" w:space="0"/>
              <w:bottom w:val="single" w:color="auto" w:sz="4" w:space="0"/>
              <w:right w:val="single" w:color="auto" w:sz="4" w:space="0"/>
            </w:tcBorders>
            <w:noWrap w:val="0"/>
            <w:vAlign w:val="center"/>
          </w:tcPr>
          <w:p w14:paraId="3B6D0EED">
            <w:pPr>
              <w:spacing w:line="360" w:lineRule="exact"/>
              <w:rPr>
                <w:rFonts w:ascii="宋体" w:hAnsi="宋体" w:cs="宋体"/>
                <w:color w:val="auto"/>
                <w:szCs w:val="21"/>
                <w:highlight w:val="none"/>
              </w:rPr>
            </w:pPr>
          </w:p>
        </w:tc>
        <w:tc>
          <w:tcPr>
            <w:tcW w:w="677" w:type="dxa"/>
            <w:vMerge w:val="continue"/>
            <w:tcBorders>
              <w:top w:val="single" w:color="auto" w:sz="4" w:space="0"/>
              <w:left w:val="single" w:color="auto" w:sz="4" w:space="0"/>
              <w:bottom w:val="single" w:color="auto" w:sz="4" w:space="0"/>
              <w:right w:val="single" w:color="auto" w:sz="4" w:space="0"/>
            </w:tcBorders>
            <w:noWrap w:val="0"/>
            <w:vAlign w:val="center"/>
          </w:tcPr>
          <w:p w14:paraId="42F69F0A">
            <w:pPr>
              <w:spacing w:line="360" w:lineRule="exact"/>
              <w:rPr>
                <w:rFonts w:ascii="宋体" w:hAnsi="宋体" w:cs="宋体"/>
                <w:color w:val="auto"/>
                <w:szCs w:val="21"/>
                <w:highlight w:val="none"/>
              </w:rPr>
            </w:pPr>
          </w:p>
        </w:tc>
        <w:tc>
          <w:tcPr>
            <w:tcW w:w="664" w:type="dxa"/>
            <w:vMerge w:val="continue"/>
            <w:tcBorders>
              <w:top w:val="single" w:color="auto" w:sz="4" w:space="0"/>
              <w:left w:val="single" w:color="auto" w:sz="4" w:space="0"/>
              <w:bottom w:val="single" w:color="auto" w:sz="4" w:space="0"/>
              <w:right w:val="single" w:color="auto" w:sz="4" w:space="0"/>
            </w:tcBorders>
            <w:noWrap w:val="0"/>
            <w:vAlign w:val="center"/>
          </w:tcPr>
          <w:p w14:paraId="4B98BE16">
            <w:pPr>
              <w:spacing w:line="360" w:lineRule="exact"/>
              <w:rPr>
                <w:rFonts w:ascii="宋体" w:hAnsi="宋体" w:cs="宋体"/>
                <w:color w:val="auto"/>
                <w:szCs w:val="21"/>
                <w:highlight w:val="none"/>
              </w:rPr>
            </w:pPr>
          </w:p>
        </w:tc>
        <w:tc>
          <w:tcPr>
            <w:tcW w:w="59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F9A3B4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施工现场平面布置和临时设施、临时道路布置，满分（</w:t>
            </w:r>
            <w:r>
              <w:rPr>
                <w:rFonts w:hint="eastAsia" w:ascii="宋体" w:hAnsi="宋体" w:cs="宋体"/>
                <w:b/>
                <w:bCs/>
                <w:color w:val="auto"/>
                <w:szCs w:val="21"/>
                <w:highlight w:val="none"/>
                <w:lang w:val="en-US" w:eastAsia="zh-CN"/>
              </w:rPr>
              <w:t>10</w:t>
            </w:r>
            <w:r>
              <w:rPr>
                <w:rFonts w:hint="eastAsia" w:ascii="宋体" w:hAnsi="宋体" w:eastAsia="宋体" w:cs="宋体"/>
                <w:b/>
                <w:bCs/>
                <w:color w:val="auto"/>
                <w:szCs w:val="21"/>
                <w:highlight w:val="none"/>
                <w:lang w:val="en-US" w:eastAsia="zh-CN"/>
              </w:rPr>
              <w:t>分）</w:t>
            </w:r>
          </w:p>
          <w:p w14:paraId="0E36C2B3">
            <w:pPr>
              <w:numPr>
                <w:ilvl w:val="0"/>
                <w:numId w:val="4"/>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平面布置、临时设施（办公区、生活区、材料区等）、临时道路布置科学合规，完全符合本项目采购要求及现场施工需求，布局紧凑、通行顺畅，兼顾安全与效率（10分）；</w:t>
            </w:r>
          </w:p>
          <w:p w14:paraId="6B25E246">
            <w:pPr>
              <w:numPr>
                <w:ilvl w:val="0"/>
                <w:numId w:val="4"/>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0" w:leftChars="0" w:firstLine="0" w:firstLineChars="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布置较科学，基本符合本项目采购要求及施工需求，布局较合理，通行基本顺畅（7分）；</w:t>
            </w:r>
          </w:p>
          <w:p w14:paraId="063FC107">
            <w:pPr>
              <w:numPr>
                <w:ilvl w:val="0"/>
                <w:numId w:val="4"/>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0" w:leftChars="0" w:firstLine="0" w:firstLineChars="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布置简单，与本项目采购要求有偏差，布局不合理，存在通行不便或安全隐患（</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lang w:val="en-US" w:eastAsia="zh-CN"/>
              </w:rPr>
              <w:t>分）；</w:t>
            </w:r>
          </w:p>
          <w:p w14:paraId="75CFF57B">
            <w:pPr>
              <w:numPr>
                <w:ilvl w:val="0"/>
                <w:numId w:val="0"/>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 未提供布置方案或方案严重不符合要求（0分）。</w:t>
            </w:r>
          </w:p>
        </w:tc>
        <w:tc>
          <w:tcPr>
            <w:tcW w:w="1128" w:type="dxa"/>
            <w:tcBorders>
              <w:top w:val="single" w:color="auto" w:sz="4" w:space="0"/>
              <w:left w:val="single" w:color="auto" w:sz="4" w:space="0"/>
              <w:bottom w:val="single" w:color="auto" w:sz="4" w:space="0"/>
              <w:right w:val="single" w:color="auto" w:sz="4" w:space="0"/>
            </w:tcBorders>
            <w:noWrap w:val="0"/>
            <w:vAlign w:val="center"/>
          </w:tcPr>
          <w:p w14:paraId="328AB242">
            <w:pPr>
              <w:spacing w:line="360" w:lineRule="exact"/>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10</w:t>
            </w:r>
          </w:p>
        </w:tc>
      </w:tr>
      <w:tr w14:paraId="07AF8688">
        <w:tblPrEx>
          <w:tblCellMar>
            <w:top w:w="0" w:type="dxa"/>
            <w:left w:w="108" w:type="dxa"/>
            <w:bottom w:w="0" w:type="dxa"/>
            <w:right w:w="108" w:type="dxa"/>
          </w:tblCellMar>
        </w:tblPrEx>
        <w:trPr>
          <w:trHeight w:val="640" w:hRule="atLeast"/>
          <w:jc w:val="center"/>
        </w:trPr>
        <w:tc>
          <w:tcPr>
            <w:tcW w:w="836" w:type="dxa"/>
            <w:vMerge w:val="continue"/>
            <w:tcBorders>
              <w:top w:val="single" w:color="auto" w:sz="4" w:space="0"/>
              <w:left w:val="single" w:color="auto" w:sz="4" w:space="0"/>
              <w:bottom w:val="single" w:color="auto" w:sz="4" w:space="0"/>
              <w:right w:val="single" w:color="auto" w:sz="4" w:space="0"/>
            </w:tcBorders>
            <w:noWrap w:val="0"/>
            <w:vAlign w:val="center"/>
          </w:tcPr>
          <w:p w14:paraId="772D9C3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宋体" w:hAnsi="宋体"/>
                <w:color w:val="auto"/>
                <w:sz w:val="20"/>
                <w:highlight w:val="none"/>
              </w:rPr>
            </w:pPr>
          </w:p>
        </w:tc>
        <w:tc>
          <w:tcPr>
            <w:tcW w:w="677" w:type="dxa"/>
            <w:vMerge w:val="continue"/>
            <w:tcBorders>
              <w:top w:val="single" w:color="auto" w:sz="4" w:space="0"/>
              <w:left w:val="single" w:color="auto" w:sz="4" w:space="0"/>
              <w:bottom w:val="single" w:color="auto" w:sz="4" w:space="0"/>
              <w:right w:val="single" w:color="auto" w:sz="4" w:space="0"/>
            </w:tcBorders>
            <w:noWrap w:val="0"/>
            <w:vAlign w:val="center"/>
          </w:tcPr>
          <w:p w14:paraId="05F48EF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ascii="宋体" w:hAnsi="宋体"/>
                <w:color w:val="auto"/>
                <w:sz w:val="20"/>
                <w:highlight w:val="none"/>
              </w:rPr>
            </w:pPr>
          </w:p>
        </w:tc>
        <w:tc>
          <w:tcPr>
            <w:tcW w:w="664" w:type="dxa"/>
            <w:vMerge w:val="continue"/>
            <w:tcBorders>
              <w:top w:val="single" w:color="auto" w:sz="4" w:space="0"/>
              <w:left w:val="single" w:color="auto" w:sz="4" w:space="0"/>
              <w:bottom w:val="single" w:color="auto" w:sz="4" w:space="0"/>
              <w:right w:val="single" w:color="auto" w:sz="4" w:space="0"/>
            </w:tcBorders>
            <w:noWrap w:val="0"/>
            <w:vAlign w:val="center"/>
          </w:tcPr>
          <w:p w14:paraId="3FD7FD7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ascii="宋体" w:hAnsi="宋体"/>
                <w:color w:val="auto"/>
                <w:sz w:val="20"/>
                <w:highlight w:val="none"/>
              </w:rPr>
            </w:pPr>
          </w:p>
        </w:tc>
        <w:tc>
          <w:tcPr>
            <w:tcW w:w="59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654354A">
            <w:pPr>
              <w:numPr>
                <w:ilvl w:val="0"/>
                <w:numId w:val="0"/>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施工进度计划和各阶段进度的保证措施，满分（7分）</w:t>
            </w:r>
          </w:p>
          <w:p w14:paraId="4934629B">
            <w:pPr>
              <w:numPr>
                <w:ilvl w:val="0"/>
                <w:numId w:val="0"/>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lang w:val="en-US" w:eastAsia="zh-CN"/>
              </w:rPr>
              <w:t>施工进度计划详细、合理，贴合项目总工期要求，各阶段进度节点明确，保证措施具体、可落地（如人员、设备、材料保障，应急预案等），可确保按期完工（7分）；</w:t>
            </w:r>
          </w:p>
          <w:p w14:paraId="4960185B">
            <w:pPr>
              <w:numPr>
                <w:ilvl w:val="0"/>
                <w:numId w:val="0"/>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 进度计划较合理，基本贴合总工期要求，节点较明确，保证措施较具体，无重大遗漏（4分）；</w:t>
            </w:r>
          </w:p>
          <w:p w14:paraId="5D5E1FF1">
            <w:pPr>
              <w:numPr>
                <w:ilvl w:val="0"/>
                <w:numId w:val="0"/>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 进度计划简单，节点不明确，保证措施笼统，难以保障按期完工（2分）；</w:t>
            </w:r>
          </w:p>
          <w:p w14:paraId="7242FEA1">
            <w:pPr>
              <w:numPr>
                <w:ilvl w:val="0"/>
                <w:numId w:val="4"/>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未提供进度计划及保证措施（0分）。</w:t>
            </w:r>
          </w:p>
        </w:tc>
        <w:tc>
          <w:tcPr>
            <w:tcW w:w="1128" w:type="dxa"/>
            <w:tcBorders>
              <w:top w:val="single" w:color="auto" w:sz="4" w:space="0"/>
              <w:left w:val="single" w:color="auto" w:sz="4" w:space="0"/>
              <w:bottom w:val="single" w:color="auto" w:sz="4" w:space="0"/>
              <w:right w:val="single" w:color="auto" w:sz="4" w:space="0"/>
            </w:tcBorders>
            <w:noWrap w:val="0"/>
            <w:vAlign w:val="center"/>
          </w:tcPr>
          <w:p w14:paraId="0393A1F4">
            <w:pPr>
              <w:spacing w:line="360" w:lineRule="exact"/>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7</w:t>
            </w:r>
          </w:p>
        </w:tc>
      </w:tr>
      <w:tr w14:paraId="44828CB2">
        <w:tblPrEx>
          <w:tblCellMar>
            <w:top w:w="0" w:type="dxa"/>
            <w:left w:w="108" w:type="dxa"/>
            <w:bottom w:w="0" w:type="dxa"/>
            <w:right w:w="108" w:type="dxa"/>
          </w:tblCellMar>
        </w:tblPrEx>
        <w:trPr>
          <w:trHeight w:val="545" w:hRule="atLeast"/>
          <w:jc w:val="center"/>
        </w:trPr>
        <w:tc>
          <w:tcPr>
            <w:tcW w:w="836" w:type="dxa"/>
            <w:vMerge w:val="continue"/>
            <w:tcBorders>
              <w:top w:val="single" w:color="auto" w:sz="4" w:space="0"/>
              <w:left w:val="single" w:color="auto" w:sz="4" w:space="0"/>
              <w:bottom w:val="single" w:color="auto" w:sz="4" w:space="0"/>
              <w:right w:val="single" w:color="auto" w:sz="4" w:space="0"/>
            </w:tcBorders>
            <w:noWrap w:val="0"/>
            <w:vAlign w:val="center"/>
          </w:tcPr>
          <w:p w14:paraId="321FFCF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宋体" w:hAnsi="宋体"/>
                <w:color w:val="auto"/>
                <w:sz w:val="20"/>
                <w:highlight w:val="none"/>
              </w:rPr>
            </w:pPr>
          </w:p>
        </w:tc>
        <w:tc>
          <w:tcPr>
            <w:tcW w:w="677" w:type="dxa"/>
            <w:vMerge w:val="continue"/>
            <w:tcBorders>
              <w:top w:val="single" w:color="auto" w:sz="4" w:space="0"/>
              <w:left w:val="single" w:color="auto" w:sz="4" w:space="0"/>
              <w:bottom w:val="single" w:color="auto" w:sz="4" w:space="0"/>
              <w:right w:val="single" w:color="auto" w:sz="4" w:space="0"/>
            </w:tcBorders>
            <w:noWrap w:val="0"/>
            <w:vAlign w:val="center"/>
          </w:tcPr>
          <w:p w14:paraId="252C6A1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ascii="宋体" w:hAnsi="宋体"/>
                <w:color w:val="auto"/>
                <w:sz w:val="20"/>
                <w:highlight w:val="none"/>
              </w:rPr>
            </w:pPr>
          </w:p>
        </w:tc>
        <w:tc>
          <w:tcPr>
            <w:tcW w:w="664" w:type="dxa"/>
            <w:vMerge w:val="continue"/>
            <w:tcBorders>
              <w:top w:val="single" w:color="auto" w:sz="4" w:space="0"/>
              <w:left w:val="single" w:color="auto" w:sz="4" w:space="0"/>
              <w:bottom w:val="single" w:color="auto" w:sz="4" w:space="0"/>
              <w:right w:val="single" w:color="auto" w:sz="4" w:space="0"/>
            </w:tcBorders>
            <w:noWrap w:val="0"/>
            <w:vAlign w:val="center"/>
          </w:tcPr>
          <w:p w14:paraId="54F0914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ascii="宋体" w:hAnsi="宋体"/>
                <w:color w:val="auto"/>
                <w:sz w:val="20"/>
                <w:highlight w:val="none"/>
              </w:rPr>
            </w:pPr>
          </w:p>
        </w:tc>
        <w:tc>
          <w:tcPr>
            <w:tcW w:w="59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E7B99F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施工过程各阶段质量的保证措施，满分（</w:t>
            </w:r>
            <w:r>
              <w:rPr>
                <w:rFonts w:hint="eastAsia" w:ascii="宋体" w:hAnsi="宋体" w:cs="宋体"/>
                <w:b/>
                <w:bCs/>
                <w:color w:val="auto"/>
                <w:szCs w:val="21"/>
                <w:highlight w:val="none"/>
                <w:lang w:val="en-US" w:eastAsia="zh-CN"/>
              </w:rPr>
              <w:t>8</w:t>
            </w:r>
            <w:r>
              <w:rPr>
                <w:rFonts w:hint="eastAsia" w:ascii="宋体" w:hAnsi="宋体" w:eastAsia="宋体" w:cs="宋体"/>
                <w:b/>
                <w:bCs/>
                <w:color w:val="auto"/>
                <w:szCs w:val="21"/>
                <w:highlight w:val="none"/>
                <w:lang w:val="en-US" w:eastAsia="zh-CN"/>
              </w:rPr>
              <w:t>分）</w:t>
            </w:r>
          </w:p>
          <w:p w14:paraId="6E7CEF60">
            <w:pPr>
              <w:numPr>
                <w:ilvl w:val="0"/>
                <w:numId w:val="5"/>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质量保证体系完善，各施工阶段（施工准备、主体施工、收尾验收等）质量控制措施具体、可操作，有明确的质量检查、验收流程及整改方案（8分）；</w:t>
            </w:r>
          </w:p>
          <w:p w14:paraId="233C51A1">
            <w:pPr>
              <w:numPr>
                <w:numId w:val="0"/>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 质量保证体系较完善，各阶段质量控制措施较具体，有基本的检查、验收流程（5分）；</w:t>
            </w:r>
          </w:p>
          <w:p w14:paraId="17EEAC38">
            <w:pPr>
              <w:numPr>
                <w:ilvl w:val="0"/>
                <w:numId w:val="0"/>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0"/>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lang w:val="en-US" w:eastAsia="zh-CN"/>
              </w:rPr>
              <w:t>质量保证体系不健全，措施笼统，缺乏具体的检查、验收机制（2分）；</w:t>
            </w:r>
          </w:p>
          <w:p w14:paraId="4ED2C95E">
            <w:pPr>
              <w:numPr>
                <w:ilvl w:val="0"/>
                <w:numId w:val="0"/>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 未提供质量保证措施或措施严重不符合规范（0分）</w:t>
            </w:r>
          </w:p>
        </w:tc>
        <w:tc>
          <w:tcPr>
            <w:tcW w:w="1128" w:type="dxa"/>
            <w:tcBorders>
              <w:top w:val="single" w:color="auto" w:sz="4" w:space="0"/>
              <w:left w:val="single" w:color="auto" w:sz="4" w:space="0"/>
              <w:bottom w:val="single" w:color="auto" w:sz="4" w:space="0"/>
              <w:right w:val="single" w:color="auto" w:sz="4" w:space="0"/>
            </w:tcBorders>
            <w:noWrap w:val="0"/>
            <w:vAlign w:val="center"/>
          </w:tcPr>
          <w:p w14:paraId="517A38E3">
            <w:pPr>
              <w:spacing w:line="360" w:lineRule="exact"/>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8</w:t>
            </w:r>
          </w:p>
        </w:tc>
      </w:tr>
      <w:tr w14:paraId="6FBAC79D">
        <w:tblPrEx>
          <w:tblCellMar>
            <w:top w:w="0" w:type="dxa"/>
            <w:left w:w="108" w:type="dxa"/>
            <w:bottom w:w="0" w:type="dxa"/>
            <w:right w:w="108" w:type="dxa"/>
          </w:tblCellMar>
        </w:tblPrEx>
        <w:trPr>
          <w:trHeight w:val="466" w:hRule="atLeast"/>
          <w:jc w:val="center"/>
        </w:trPr>
        <w:tc>
          <w:tcPr>
            <w:tcW w:w="836" w:type="dxa"/>
            <w:vMerge w:val="continue"/>
            <w:tcBorders>
              <w:top w:val="single" w:color="auto" w:sz="4" w:space="0"/>
              <w:left w:val="single" w:color="auto" w:sz="4" w:space="0"/>
              <w:bottom w:val="single" w:color="auto" w:sz="4" w:space="0"/>
              <w:right w:val="single" w:color="auto" w:sz="4" w:space="0"/>
            </w:tcBorders>
            <w:noWrap w:val="0"/>
            <w:vAlign w:val="center"/>
          </w:tcPr>
          <w:p w14:paraId="568E68F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宋体" w:hAnsi="宋体"/>
                <w:color w:val="auto"/>
                <w:sz w:val="20"/>
                <w:highlight w:val="none"/>
              </w:rPr>
            </w:pPr>
          </w:p>
        </w:tc>
        <w:tc>
          <w:tcPr>
            <w:tcW w:w="677" w:type="dxa"/>
            <w:vMerge w:val="continue"/>
            <w:tcBorders>
              <w:top w:val="single" w:color="auto" w:sz="4" w:space="0"/>
              <w:left w:val="single" w:color="auto" w:sz="4" w:space="0"/>
              <w:bottom w:val="single" w:color="auto" w:sz="4" w:space="0"/>
              <w:right w:val="single" w:color="auto" w:sz="4" w:space="0"/>
            </w:tcBorders>
            <w:noWrap w:val="0"/>
            <w:vAlign w:val="center"/>
          </w:tcPr>
          <w:p w14:paraId="56424A4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ascii="宋体" w:hAnsi="宋体"/>
                <w:color w:val="auto"/>
                <w:sz w:val="20"/>
                <w:highlight w:val="none"/>
              </w:rPr>
            </w:pPr>
          </w:p>
        </w:tc>
        <w:tc>
          <w:tcPr>
            <w:tcW w:w="664" w:type="dxa"/>
            <w:vMerge w:val="continue"/>
            <w:tcBorders>
              <w:top w:val="single" w:color="auto" w:sz="4" w:space="0"/>
              <w:left w:val="single" w:color="auto" w:sz="4" w:space="0"/>
              <w:bottom w:val="single" w:color="auto" w:sz="4" w:space="0"/>
              <w:right w:val="single" w:color="auto" w:sz="4" w:space="0"/>
            </w:tcBorders>
            <w:noWrap w:val="0"/>
            <w:vAlign w:val="center"/>
          </w:tcPr>
          <w:p w14:paraId="21034F0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ascii="宋体" w:hAnsi="宋体"/>
                <w:color w:val="auto"/>
                <w:sz w:val="20"/>
                <w:highlight w:val="none"/>
              </w:rPr>
            </w:pPr>
          </w:p>
        </w:tc>
        <w:tc>
          <w:tcPr>
            <w:tcW w:w="59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3A0484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 </w:t>
            </w:r>
            <w:r>
              <w:rPr>
                <w:rFonts w:hint="eastAsia" w:ascii="宋体" w:hAnsi="宋体" w:eastAsia="宋体" w:cs="宋体"/>
                <w:b/>
                <w:bCs/>
                <w:color w:val="auto"/>
                <w:szCs w:val="21"/>
                <w:highlight w:val="none"/>
                <w:lang w:val="en-US" w:eastAsia="zh-CN"/>
              </w:rPr>
              <w:t>施工过程各阶段环境的保护保证措施，满分（</w:t>
            </w:r>
            <w:r>
              <w:rPr>
                <w:rFonts w:hint="eastAsia" w:ascii="宋体" w:hAnsi="宋体" w:cs="宋体"/>
                <w:b/>
                <w:bCs/>
                <w:color w:val="auto"/>
                <w:szCs w:val="21"/>
                <w:highlight w:val="none"/>
                <w:lang w:val="en-US" w:eastAsia="zh-CN"/>
              </w:rPr>
              <w:t>7</w:t>
            </w:r>
            <w:r>
              <w:rPr>
                <w:rFonts w:hint="eastAsia" w:ascii="宋体" w:hAnsi="宋体" w:eastAsia="宋体" w:cs="宋体"/>
                <w:b/>
                <w:bCs/>
                <w:color w:val="auto"/>
                <w:szCs w:val="21"/>
                <w:highlight w:val="none"/>
                <w:lang w:val="en-US" w:eastAsia="zh-CN"/>
              </w:rPr>
              <w:t>分）</w:t>
            </w:r>
          </w:p>
          <w:p w14:paraId="6B28445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 环保保证措施全面，覆盖施工各阶段（扬尘、</w:t>
            </w:r>
            <w:r>
              <w:rPr>
                <w:rFonts w:hint="eastAsia" w:ascii="宋体" w:hAnsi="宋体" w:cs="宋体"/>
                <w:color w:val="auto"/>
                <w:szCs w:val="21"/>
                <w:highlight w:val="none"/>
                <w:lang w:val="en-US" w:eastAsia="zh-CN"/>
              </w:rPr>
              <w:t>噪声</w:t>
            </w:r>
            <w:r>
              <w:rPr>
                <w:rFonts w:hint="eastAsia" w:ascii="宋体" w:hAnsi="宋体" w:eastAsia="宋体" w:cs="宋体"/>
                <w:color w:val="auto"/>
                <w:szCs w:val="21"/>
                <w:highlight w:val="none"/>
                <w:lang w:val="en-US" w:eastAsia="zh-CN"/>
              </w:rPr>
              <w:t>、污水、建筑垃圾处理等），符合国家及地方环保标准，措施具体可落地（7分）；</w:t>
            </w:r>
          </w:p>
          <w:p w14:paraId="75C82AE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 环保保证措施较全面，基本覆盖主要施工阶段，符合环保基本要求，措施较具体（</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en-US" w:eastAsia="zh-CN"/>
              </w:rPr>
              <w:t>分）；</w:t>
            </w:r>
          </w:p>
          <w:p w14:paraId="22FA29B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 环保措施简单，仅覆盖部分阶段，措施笼统，存在环保隐患（2分）；</w:t>
            </w:r>
          </w:p>
          <w:p w14:paraId="6489B5A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 未提供环保保证措施或措施不符合环保要求（0分）</w:t>
            </w:r>
            <w:r>
              <w:rPr>
                <w:rFonts w:ascii="Arial" w:hAnsi="Arial" w:eastAsia="等线" w:cs="Arial"/>
                <w:color w:val="auto"/>
                <w:sz w:val="22"/>
                <w:highlight w:val="none"/>
              </w:rPr>
              <w:t>。</w:t>
            </w:r>
          </w:p>
        </w:tc>
        <w:tc>
          <w:tcPr>
            <w:tcW w:w="1128" w:type="dxa"/>
            <w:tcBorders>
              <w:top w:val="single" w:color="auto" w:sz="4" w:space="0"/>
              <w:left w:val="single" w:color="auto" w:sz="4" w:space="0"/>
              <w:bottom w:val="single" w:color="auto" w:sz="4" w:space="0"/>
              <w:right w:val="single" w:color="auto" w:sz="4" w:space="0"/>
            </w:tcBorders>
            <w:noWrap w:val="0"/>
            <w:vAlign w:val="center"/>
          </w:tcPr>
          <w:p w14:paraId="582EC6FF">
            <w:pPr>
              <w:spacing w:line="360" w:lineRule="exact"/>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7</w:t>
            </w:r>
          </w:p>
        </w:tc>
      </w:tr>
      <w:tr w14:paraId="51F24880">
        <w:tblPrEx>
          <w:tblCellMar>
            <w:top w:w="0" w:type="dxa"/>
            <w:left w:w="108" w:type="dxa"/>
            <w:bottom w:w="0" w:type="dxa"/>
            <w:right w:w="108" w:type="dxa"/>
          </w:tblCellMar>
        </w:tblPrEx>
        <w:trPr>
          <w:trHeight w:val="619" w:hRule="atLeast"/>
          <w:jc w:val="center"/>
        </w:trPr>
        <w:tc>
          <w:tcPr>
            <w:tcW w:w="836" w:type="dxa"/>
            <w:vMerge w:val="continue"/>
            <w:tcBorders>
              <w:top w:val="single" w:color="auto" w:sz="4" w:space="0"/>
              <w:left w:val="single" w:color="auto" w:sz="4" w:space="0"/>
              <w:bottom w:val="single" w:color="auto" w:sz="4" w:space="0"/>
              <w:right w:val="single" w:color="auto" w:sz="4" w:space="0"/>
            </w:tcBorders>
            <w:noWrap w:val="0"/>
            <w:vAlign w:val="center"/>
          </w:tcPr>
          <w:p w14:paraId="77DFD05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宋体" w:hAnsi="宋体"/>
                <w:color w:val="auto"/>
                <w:sz w:val="20"/>
                <w:highlight w:val="none"/>
              </w:rPr>
            </w:pPr>
          </w:p>
        </w:tc>
        <w:tc>
          <w:tcPr>
            <w:tcW w:w="677" w:type="dxa"/>
            <w:vMerge w:val="continue"/>
            <w:tcBorders>
              <w:top w:val="single" w:color="auto" w:sz="4" w:space="0"/>
              <w:left w:val="single" w:color="auto" w:sz="4" w:space="0"/>
              <w:bottom w:val="single" w:color="auto" w:sz="4" w:space="0"/>
              <w:right w:val="single" w:color="auto" w:sz="4" w:space="0"/>
            </w:tcBorders>
            <w:noWrap w:val="0"/>
            <w:vAlign w:val="center"/>
          </w:tcPr>
          <w:p w14:paraId="51A7758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ascii="宋体" w:hAnsi="宋体"/>
                <w:color w:val="auto"/>
                <w:sz w:val="20"/>
                <w:highlight w:val="none"/>
              </w:rPr>
            </w:pPr>
          </w:p>
        </w:tc>
        <w:tc>
          <w:tcPr>
            <w:tcW w:w="664" w:type="dxa"/>
            <w:vMerge w:val="continue"/>
            <w:tcBorders>
              <w:top w:val="single" w:color="auto" w:sz="4" w:space="0"/>
              <w:left w:val="single" w:color="auto" w:sz="4" w:space="0"/>
              <w:bottom w:val="single" w:color="auto" w:sz="4" w:space="0"/>
              <w:right w:val="single" w:color="auto" w:sz="4" w:space="0"/>
            </w:tcBorders>
            <w:noWrap w:val="0"/>
            <w:vAlign w:val="center"/>
          </w:tcPr>
          <w:p w14:paraId="50E2D97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ascii="宋体" w:hAnsi="宋体"/>
                <w:color w:val="auto"/>
                <w:sz w:val="20"/>
                <w:highlight w:val="none"/>
              </w:rPr>
            </w:pPr>
          </w:p>
        </w:tc>
        <w:tc>
          <w:tcPr>
            <w:tcW w:w="59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2D55C0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劳动力、机械设备和材料投入计划，满分（7分）</w:t>
            </w:r>
          </w:p>
          <w:p w14:paraId="2D0FBD11">
            <w:pPr>
              <w:numPr>
                <w:ilvl w:val="0"/>
                <w:numId w:val="6"/>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劳动力、机械设备、材料投入计划详细、合理，完全匹配本项目采购要求及施工进度，数量、规格、进场时间明确，保障措施到位（</w:t>
            </w:r>
            <w:r>
              <w:rPr>
                <w:rFonts w:hint="eastAsia" w:ascii="宋体" w:hAnsi="宋体" w:eastAsia="宋体" w:cs="宋体"/>
                <w:b/>
                <w:bCs/>
                <w:color w:val="auto"/>
                <w:szCs w:val="21"/>
                <w:highlight w:val="none"/>
                <w:lang w:val="en-US" w:eastAsia="zh-CN"/>
              </w:rPr>
              <w:t>7</w:t>
            </w:r>
            <w:r>
              <w:rPr>
                <w:rFonts w:hint="eastAsia" w:ascii="宋体" w:hAnsi="宋体" w:eastAsia="宋体" w:cs="宋体"/>
                <w:color w:val="auto"/>
                <w:szCs w:val="21"/>
                <w:highlight w:val="none"/>
                <w:lang w:val="en-US" w:eastAsia="zh-CN"/>
              </w:rPr>
              <w:t>分）；</w:t>
            </w:r>
          </w:p>
          <w:p w14:paraId="2D1A419F">
            <w:pPr>
              <w:numPr>
                <w:ilvl w:val="0"/>
                <w:numId w:val="6"/>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0" w:leftChars="0" w:firstLine="0" w:firstLineChars="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投入计划较合理，基本匹配项目要求及进度，数量、规格、进场时间较明确（</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en-US" w:eastAsia="zh-CN"/>
              </w:rPr>
              <w:t>分）；</w:t>
            </w:r>
          </w:p>
          <w:p w14:paraId="62C11CA8">
            <w:pPr>
              <w:numPr>
                <w:ilvl w:val="0"/>
                <w:numId w:val="6"/>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0" w:leftChars="0" w:firstLine="0" w:firstLineChars="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投入计划简单，与项目要求、施工进度匹配度不足，细节不明确（</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lang w:val="en-US" w:eastAsia="zh-CN"/>
              </w:rPr>
              <w:t>分）；</w:t>
            </w:r>
          </w:p>
          <w:p w14:paraId="7D500D94">
            <w:pPr>
              <w:numPr>
                <w:numId w:val="0"/>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 未提供投入计划或计划严重不合理（0分）。</w:t>
            </w:r>
          </w:p>
        </w:tc>
        <w:tc>
          <w:tcPr>
            <w:tcW w:w="11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B825C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center"/>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7</w:t>
            </w:r>
          </w:p>
        </w:tc>
      </w:tr>
      <w:tr w14:paraId="54271AA7">
        <w:tblPrEx>
          <w:tblCellMar>
            <w:top w:w="0" w:type="dxa"/>
            <w:left w:w="108" w:type="dxa"/>
            <w:bottom w:w="0" w:type="dxa"/>
            <w:right w:w="108" w:type="dxa"/>
          </w:tblCellMar>
        </w:tblPrEx>
        <w:trPr>
          <w:trHeight w:val="341" w:hRule="atLeast"/>
          <w:jc w:val="center"/>
        </w:trPr>
        <w:tc>
          <w:tcPr>
            <w:tcW w:w="836" w:type="dxa"/>
            <w:vMerge w:val="continue"/>
            <w:tcBorders>
              <w:top w:val="single" w:color="auto" w:sz="4" w:space="0"/>
              <w:left w:val="single" w:color="auto" w:sz="4" w:space="0"/>
              <w:bottom w:val="single" w:color="auto" w:sz="4" w:space="0"/>
              <w:right w:val="single" w:color="auto" w:sz="4" w:space="0"/>
            </w:tcBorders>
            <w:noWrap w:val="0"/>
            <w:vAlign w:val="center"/>
          </w:tcPr>
          <w:p w14:paraId="7BAFE691">
            <w:pPr>
              <w:pStyle w:val="31"/>
              <w:widowControl w:val="0"/>
              <w:ind w:firstLine="480"/>
              <w:jc w:val="both"/>
              <w:rPr>
                <w:color w:val="auto"/>
                <w:highlight w:val="none"/>
              </w:rPr>
            </w:pPr>
          </w:p>
        </w:tc>
        <w:tc>
          <w:tcPr>
            <w:tcW w:w="677" w:type="dxa"/>
            <w:vMerge w:val="continue"/>
            <w:tcBorders>
              <w:top w:val="single" w:color="auto" w:sz="4" w:space="0"/>
              <w:left w:val="single" w:color="auto" w:sz="4" w:space="0"/>
              <w:bottom w:val="single" w:color="auto" w:sz="4" w:space="0"/>
              <w:right w:val="single" w:color="auto" w:sz="4" w:space="0"/>
            </w:tcBorders>
            <w:noWrap w:val="0"/>
            <w:vAlign w:val="center"/>
          </w:tcPr>
          <w:p w14:paraId="41004DCB">
            <w:pPr>
              <w:pStyle w:val="31"/>
              <w:widowControl w:val="0"/>
              <w:ind w:firstLine="480"/>
              <w:jc w:val="both"/>
              <w:rPr>
                <w:color w:val="auto"/>
                <w:highlight w:val="none"/>
              </w:rPr>
            </w:pPr>
          </w:p>
        </w:tc>
        <w:tc>
          <w:tcPr>
            <w:tcW w:w="664" w:type="dxa"/>
            <w:vMerge w:val="continue"/>
            <w:tcBorders>
              <w:top w:val="single" w:color="auto" w:sz="4" w:space="0"/>
              <w:left w:val="single" w:color="auto" w:sz="4" w:space="0"/>
              <w:bottom w:val="single" w:color="auto" w:sz="4" w:space="0"/>
              <w:right w:val="single" w:color="auto" w:sz="4" w:space="0"/>
            </w:tcBorders>
            <w:noWrap w:val="0"/>
            <w:vAlign w:val="center"/>
          </w:tcPr>
          <w:p w14:paraId="3D0129E4">
            <w:pPr>
              <w:pStyle w:val="31"/>
              <w:widowControl w:val="0"/>
              <w:ind w:firstLine="480"/>
              <w:jc w:val="both"/>
              <w:rPr>
                <w:color w:val="auto"/>
                <w:highlight w:val="none"/>
              </w:rPr>
            </w:pPr>
          </w:p>
        </w:tc>
        <w:tc>
          <w:tcPr>
            <w:tcW w:w="59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93BE5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专项施工技术方案及工程项目实施的重点、难点和解决方案有同等项目方案，满分（</w:t>
            </w:r>
            <w:r>
              <w:rPr>
                <w:rFonts w:hint="eastAsia" w:ascii="宋体" w:hAnsi="宋体" w:cs="宋体"/>
                <w:b/>
                <w:bCs/>
                <w:color w:val="auto"/>
                <w:szCs w:val="21"/>
                <w:highlight w:val="none"/>
                <w:lang w:val="en-US" w:eastAsia="zh-CN"/>
              </w:rPr>
              <w:t>10</w:t>
            </w:r>
            <w:r>
              <w:rPr>
                <w:rFonts w:hint="eastAsia" w:ascii="宋体" w:hAnsi="宋体" w:eastAsia="宋体" w:cs="宋体"/>
                <w:b/>
                <w:bCs/>
                <w:color w:val="auto"/>
                <w:szCs w:val="21"/>
                <w:highlight w:val="none"/>
                <w:lang w:val="en-US" w:eastAsia="zh-CN"/>
              </w:rPr>
              <w:t>分）</w:t>
            </w:r>
          </w:p>
          <w:p w14:paraId="292D126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 专项施工技术方案完善、针对性强，能准确识别本项目实施重点、难点，解决方案科学、可落地；提供同等项目完整方案，且与本项目高度契合（10分）；</w:t>
            </w:r>
          </w:p>
          <w:p w14:paraId="3248620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 专项施工技术方案较完善，能识别主要重点、难点，解决方案较合理；提供同等项目方案，与本项目基本契合（7分）；</w:t>
            </w:r>
          </w:p>
          <w:p w14:paraId="28A7BCC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 专项施工技术方案简单，重点、难点识别不全面，解决方案笼统；提供的同等项目方案与本项目契合度低（3分）；</w:t>
            </w:r>
          </w:p>
          <w:p w14:paraId="086948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 未提供专项技术方案、重点难点解决方案及同等项目方案（0分）</w:t>
            </w:r>
          </w:p>
        </w:tc>
        <w:tc>
          <w:tcPr>
            <w:tcW w:w="11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A09F0F5">
            <w:pPr>
              <w:pStyle w:val="31"/>
              <w:widowControl w:val="0"/>
              <w:ind w:firstLine="210"/>
              <w:jc w:val="both"/>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w:t>
            </w:r>
          </w:p>
        </w:tc>
      </w:tr>
    </w:tbl>
    <w:p w14:paraId="0FFCF602">
      <w:pPr>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宋体" w:cs="Times New Roman"/>
          <w:color w:val="auto"/>
          <w:highlight w:val="none"/>
        </w:rPr>
      </w:pPr>
    </w:p>
    <w:p w14:paraId="05054D63">
      <w:pPr>
        <w:keepNext w:val="0"/>
        <w:keepLines w:val="0"/>
        <w:pageBreakBefore w:val="0"/>
        <w:widowControl w:val="0"/>
        <w:kinsoku/>
        <w:wordWrap/>
        <w:overflowPunct/>
        <w:topLinePunct w:val="0"/>
        <w:autoSpaceDE/>
        <w:autoSpaceDN/>
        <w:bidi w:val="0"/>
        <w:adjustRightInd/>
        <w:snapToGrid/>
        <w:spacing w:line="380" w:lineRule="exact"/>
        <w:ind w:firstLine="53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磋商结束后，成交结果将在</w:t>
      </w:r>
      <w:r>
        <w:rPr>
          <w:rFonts w:hint="eastAsia" w:ascii="仿宋" w:hAnsi="仿宋" w:eastAsia="仿宋" w:cs="仿宋"/>
          <w:color w:val="auto"/>
          <w:sz w:val="24"/>
          <w:szCs w:val="24"/>
          <w:highlight w:val="none"/>
          <w:lang w:val="en-US" w:eastAsia="zh-CN"/>
        </w:rPr>
        <w:t>江苏省政府采购网和</w:t>
      </w:r>
      <w:r>
        <w:rPr>
          <w:rFonts w:hint="eastAsia" w:ascii="仿宋" w:hAnsi="仿宋" w:eastAsia="仿宋" w:cs="仿宋"/>
          <w:color w:val="auto"/>
          <w:sz w:val="24"/>
          <w:szCs w:val="24"/>
          <w:highlight w:val="none"/>
        </w:rPr>
        <w:t>淮安市政府采购网上进行公告。磋商供应商对采购过程和成交结果有质疑的必须在相关法律法规规定的时间内提出。</w:t>
      </w:r>
    </w:p>
    <w:p w14:paraId="76A556B5">
      <w:pPr>
        <w:keepNext w:val="0"/>
        <w:keepLines w:val="0"/>
        <w:pageBreakBefore w:val="0"/>
        <w:widowControl w:val="0"/>
        <w:kinsoku/>
        <w:wordWrap/>
        <w:overflowPunct/>
        <w:topLinePunct w:val="0"/>
        <w:autoSpaceDE/>
        <w:autoSpaceDN/>
        <w:bidi w:val="0"/>
        <w:adjustRightInd/>
        <w:snapToGrid/>
        <w:spacing w:line="380" w:lineRule="exact"/>
        <w:ind w:firstLine="539"/>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成交候选人在公示期间，如经查实从参加该成交项目之日起计算所参加的政府采购活动前三年内，在经营活动中有行贿犯罪记录的，采购人将取消其成交候选人资格。</w:t>
      </w:r>
    </w:p>
    <w:p w14:paraId="6D89F22B">
      <w:pPr>
        <w:keepNext w:val="0"/>
        <w:keepLines w:val="0"/>
        <w:pageBreakBefore w:val="0"/>
        <w:widowControl w:val="0"/>
        <w:kinsoku/>
        <w:wordWrap/>
        <w:overflowPunct/>
        <w:topLinePunct w:val="0"/>
        <w:autoSpaceDE/>
        <w:autoSpaceDN/>
        <w:bidi w:val="0"/>
        <w:adjustRightInd/>
        <w:snapToGrid/>
        <w:spacing w:line="380" w:lineRule="exact"/>
        <w:ind w:firstLine="53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磋商过程保密</w:t>
      </w:r>
    </w:p>
    <w:p w14:paraId="005A6D0D">
      <w:pPr>
        <w:keepNext w:val="0"/>
        <w:keepLines w:val="0"/>
        <w:pageBreakBefore w:val="0"/>
        <w:widowControl w:val="0"/>
        <w:kinsoku/>
        <w:wordWrap/>
        <w:overflowPunct/>
        <w:topLinePunct w:val="0"/>
        <w:autoSpaceDE/>
        <w:autoSpaceDN/>
        <w:bidi w:val="0"/>
        <w:adjustRightInd/>
        <w:snapToGrid/>
        <w:spacing w:line="380" w:lineRule="exact"/>
        <w:ind w:firstLine="53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在宣布确定成交之前，凡属于审查、澄清、磋商、比较响应文件和确定成交意向等有关信息，均不得泄露给任何与磋商工作无关的人员。</w:t>
      </w:r>
    </w:p>
    <w:p w14:paraId="6F3FDCEA">
      <w:pPr>
        <w:keepNext w:val="0"/>
        <w:keepLines w:val="0"/>
        <w:pageBreakBefore w:val="0"/>
        <w:widowControl w:val="0"/>
        <w:kinsoku/>
        <w:wordWrap/>
        <w:overflowPunct/>
        <w:topLinePunct w:val="0"/>
        <w:autoSpaceDE/>
        <w:autoSpaceDN/>
        <w:bidi w:val="0"/>
        <w:adjustRightInd/>
        <w:snapToGrid/>
        <w:spacing w:line="380" w:lineRule="exact"/>
        <w:ind w:firstLine="53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磋商供应商不得探听上述信息，不得以任何行为影响磋商过程，否则将被取消成交资格。</w:t>
      </w:r>
    </w:p>
    <w:p w14:paraId="009ADDF9">
      <w:pPr>
        <w:keepNext w:val="0"/>
        <w:keepLines w:val="0"/>
        <w:pageBreakBefore w:val="0"/>
        <w:widowControl w:val="0"/>
        <w:kinsoku/>
        <w:wordWrap/>
        <w:overflowPunct/>
        <w:topLinePunct w:val="0"/>
        <w:autoSpaceDE/>
        <w:autoSpaceDN/>
        <w:bidi w:val="0"/>
        <w:adjustRightInd/>
        <w:snapToGrid/>
        <w:spacing w:line="380" w:lineRule="exact"/>
        <w:ind w:firstLine="539"/>
        <w:textAlignment w:val="auto"/>
        <w:rPr>
          <w:rFonts w:hint="eastAsia" w:ascii="仿宋" w:hAnsi="仿宋" w:eastAsia="仿宋" w:cs="仿宋"/>
          <w:color w:val="auto"/>
          <w:sz w:val="24"/>
          <w:szCs w:val="24"/>
          <w:highlight w:val="none"/>
        </w:rPr>
        <w:sectPr>
          <w:footerReference r:id="rId4" w:type="default"/>
          <w:pgSz w:w="11906" w:h="16838"/>
          <w:pgMar w:top="1440" w:right="1417" w:bottom="1440" w:left="1417" w:header="851" w:footer="992" w:gutter="0"/>
          <w:pgBorders>
            <w:top w:val="none" w:sz="0" w:space="0"/>
            <w:left w:val="none" w:sz="0" w:space="0"/>
            <w:bottom w:val="none" w:sz="0" w:space="0"/>
            <w:right w:val="none" w:sz="0" w:space="0"/>
          </w:pgBorders>
          <w:pgNumType w:start="1"/>
          <w:cols w:space="720" w:num="1"/>
          <w:docGrid w:type="lines" w:linePitch="312" w:charSpace="0"/>
        </w:sectPr>
      </w:pPr>
      <w:r>
        <w:rPr>
          <w:rFonts w:hint="eastAsia" w:ascii="仿宋" w:hAnsi="仿宋" w:eastAsia="仿宋" w:cs="仿宋"/>
          <w:color w:val="auto"/>
          <w:sz w:val="24"/>
          <w:szCs w:val="24"/>
          <w:highlight w:val="none"/>
        </w:rPr>
        <w:t>在磋商期间，采购人将指定联络员与磋商供应商进行联络。</w:t>
      </w:r>
    </w:p>
    <w:bookmarkEnd w:id="32"/>
    <w:p w14:paraId="2E74F02F">
      <w:pPr>
        <w:pageBreakBefore w:val="0"/>
        <w:numPr>
          <w:ilvl w:val="0"/>
          <w:numId w:val="7"/>
        </w:numPr>
        <w:kinsoku/>
        <w:wordWrap/>
        <w:overflowPunct/>
        <w:topLinePunct w:val="0"/>
        <w:bidi w:val="0"/>
        <w:spacing w:line="380" w:lineRule="exact"/>
        <w:jc w:val="center"/>
        <w:outlineLvl w:val="0"/>
        <w:rPr>
          <w:rFonts w:hint="eastAsia" w:ascii="仿宋" w:hAnsi="仿宋" w:eastAsia="仿宋" w:cs="仿宋"/>
          <w:b/>
          <w:color w:val="auto"/>
          <w:sz w:val="30"/>
          <w:szCs w:val="30"/>
          <w:highlight w:val="none"/>
          <w:lang w:val="en-US"/>
        </w:rPr>
      </w:pPr>
      <w:r>
        <w:rPr>
          <w:rFonts w:hint="eastAsia" w:ascii="仿宋" w:hAnsi="仿宋" w:eastAsia="仿宋" w:cs="仿宋"/>
          <w:b/>
          <w:color w:val="auto"/>
          <w:sz w:val="30"/>
          <w:szCs w:val="30"/>
          <w:highlight w:val="none"/>
          <w:lang w:val="en-US" w:eastAsia="zh-CN"/>
        </w:rPr>
        <w:t xml:space="preserve"> </w:t>
      </w:r>
      <w:bookmarkStart w:id="33" w:name="OLE_LINK12"/>
      <w:r>
        <w:rPr>
          <w:rFonts w:hint="eastAsia" w:ascii="仿宋" w:hAnsi="仿宋" w:eastAsia="仿宋" w:cs="仿宋"/>
          <w:b/>
          <w:color w:val="auto"/>
          <w:sz w:val="30"/>
          <w:szCs w:val="30"/>
          <w:highlight w:val="none"/>
          <w:lang w:val="en-US" w:eastAsia="zh-CN"/>
        </w:rPr>
        <w:t>项目采购需求</w:t>
      </w:r>
      <w:bookmarkEnd w:id="33"/>
    </w:p>
    <w:tbl>
      <w:tblPr>
        <w:tblStyle w:val="17"/>
        <w:tblW w:w="10114" w:type="dxa"/>
        <w:tblInd w:w="0" w:type="dxa"/>
        <w:tblLayout w:type="fixed"/>
        <w:tblCellMar>
          <w:top w:w="0" w:type="dxa"/>
          <w:left w:w="0" w:type="dxa"/>
          <w:bottom w:w="0" w:type="dxa"/>
          <w:right w:w="0" w:type="dxa"/>
        </w:tblCellMar>
      </w:tblPr>
      <w:tblGrid>
        <w:gridCol w:w="470"/>
        <w:gridCol w:w="1341"/>
        <w:gridCol w:w="1082"/>
        <w:gridCol w:w="2615"/>
        <w:gridCol w:w="823"/>
        <w:gridCol w:w="837"/>
        <w:gridCol w:w="252"/>
        <w:gridCol w:w="253"/>
        <w:gridCol w:w="437"/>
        <w:gridCol w:w="243"/>
        <w:gridCol w:w="766"/>
        <w:gridCol w:w="995"/>
      </w:tblGrid>
      <w:tr w14:paraId="711FB853">
        <w:tblPrEx>
          <w:tblCellMar>
            <w:top w:w="0" w:type="dxa"/>
            <w:left w:w="0" w:type="dxa"/>
            <w:bottom w:w="0" w:type="dxa"/>
            <w:right w:w="0" w:type="dxa"/>
          </w:tblCellMar>
        </w:tblPrEx>
        <w:trPr>
          <w:trHeight w:val="673" w:hRule="exact"/>
        </w:trPr>
        <w:tc>
          <w:tcPr>
            <w:tcW w:w="10114" w:type="dxa"/>
            <w:gridSpan w:val="12"/>
            <w:tcBorders>
              <w:top w:val="single" w:color="auto" w:sz="4" w:space="0"/>
              <w:left w:val="single" w:color="auto" w:sz="4" w:space="0"/>
              <w:bottom w:val="single" w:color="auto" w:sz="4" w:space="0"/>
              <w:right w:val="single" w:color="auto" w:sz="4" w:space="0"/>
            </w:tcBorders>
            <w:shd w:val="clear" w:color="auto" w:fill="auto"/>
            <w:vAlign w:val="center"/>
          </w:tcPr>
          <w:p w14:paraId="6A4DD9C9">
            <w:pPr>
              <w:spacing w:line="232" w:lineRule="auto"/>
              <w:jc w:val="center"/>
              <w:rPr>
                <w:rFonts w:hint="eastAsia" w:ascii="宋体" w:hAnsi="宋体" w:eastAsia="宋体" w:cs="宋体"/>
                <w:b/>
                <w:color w:val="auto"/>
                <w:spacing w:val="-2"/>
                <w:sz w:val="32"/>
                <w:highlight w:val="none"/>
                <w:lang w:eastAsia="zh-CN"/>
              </w:rPr>
            </w:pPr>
            <w:r>
              <w:rPr>
                <w:rFonts w:hint="eastAsia" w:ascii="宋体" w:hAnsi="宋体" w:eastAsia="宋体" w:cs="宋体"/>
                <w:b/>
                <w:color w:val="auto"/>
                <w:spacing w:val="-2"/>
                <w:sz w:val="32"/>
                <w:highlight w:val="none"/>
                <w:lang w:eastAsia="zh-CN"/>
              </w:rPr>
              <w:t>全费用工程量清单与计价表</w:t>
            </w:r>
          </w:p>
        </w:tc>
      </w:tr>
      <w:tr w14:paraId="2AA89A8E">
        <w:tblPrEx>
          <w:tblCellMar>
            <w:top w:w="0" w:type="dxa"/>
            <w:left w:w="0" w:type="dxa"/>
            <w:bottom w:w="0" w:type="dxa"/>
            <w:right w:w="0" w:type="dxa"/>
          </w:tblCellMar>
        </w:tblPrEx>
        <w:trPr>
          <w:trHeight w:val="344" w:hRule="exact"/>
        </w:trPr>
        <w:tc>
          <w:tcPr>
            <w:tcW w:w="5508"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7FDB9967">
            <w:pPr>
              <w:spacing w:line="232" w:lineRule="auto"/>
              <w:rPr>
                <w:rFonts w:ascii="黑体" w:hAnsi="黑体" w:eastAsia="黑体" w:cs="黑体"/>
                <w:color w:val="auto"/>
                <w:spacing w:val="-2"/>
                <w:sz w:val="21"/>
                <w:highlight w:val="none"/>
              </w:rPr>
            </w:pPr>
            <w:r>
              <w:rPr>
                <w:rFonts w:ascii="黑体" w:hAnsi="黑体" w:eastAsia="黑体" w:cs="黑体"/>
                <w:color w:val="auto"/>
                <w:spacing w:val="-2"/>
                <w:sz w:val="21"/>
                <w:highlight w:val="none"/>
              </w:rPr>
              <w:t>工程名称：安装</w:t>
            </w:r>
          </w:p>
        </w:tc>
        <w:tc>
          <w:tcPr>
            <w:tcW w:w="2165"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6B7B0693">
            <w:pPr>
              <w:spacing w:line="232" w:lineRule="auto"/>
              <w:rPr>
                <w:rFonts w:ascii="黑体" w:hAnsi="黑体" w:eastAsia="黑体" w:cs="黑体"/>
                <w:color w:val="auto"/>
                <w:spacing w:val="-2"/>
                <w:sz w:val="21"/>
                <w:highlight w:val="none"/>
              </w:rPr>
            </w:pPr>
            <w:r>
              <w:rPr>
                <w:rFonts w:ascii="黑体" w:hAnsi="黑体" w:eastAsia="黑体" w:cs="黑体"/>
                <w:color w:val="auto"/>
                <w:spacing w:val="-2"/>
                <w:sz w:val="21"/>
                <w:highlight w:val="none"/>
              </w:rPr>
              <w:t>标段：</w:t>
            </w:r>
          </w:p>
        </w:tc>
        <w:tc>
          <w:tcPr>
            <w:tcW w:w="244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252AF394">
            <w:pPr>
              <w:spacing w:line="232" w:lineRule="auto"/>
              <w:jc w:val="right"/>
              <w:rPr>
                <w:rFonts w:ascii="黑体" w:hAnsi="黑体" w:eastAsia="黑体" w:cs="黑体"/>
                <w:color w:val="auto"/>
                <w:spacing w:val="-2"/>
                <w:sz w:val="21"/>
                <w:highlight w:val="none"/>
              </w:rPr>
            </w:pPr>
            <w:r>
              <w:rPr>
                <w:rFonts w:ascii="黑体" w:hAnsi="黑体" w:eastAsia="黑体" w:cs="黑体"/>
                <w:color w:val="auto"/>
                <w:spacing w:val="-2"/>
                <w:sz w:val="21"/>
                <w:highlight w:val="none"/>
              </w:rPr>
              <w:t>第1页 共5页</w:t>
            </w:r>
          </w:p>
        </w:tc>
      </w:tr>
      <w:tr w14:paraId="7922CFD2">
        <w:tblPrEx>
          <w:tblCellMar>
            <w:top w:w="0" w:type="dxa"/>
            <w:left w:w="0" w:type="dxa"/>
            <w:bottom w:w="0" w:type="dxa"/>
            <w:right w:w="0" w:type="dxa"/>
          </w:tblCellMar>
        </w:tblPrEx>
        <w:trPr>
          <w:trHeight w:val="301" w:hRule="exact"/>
        </w:trPr>
        <w:tc>
          <w:tcPr>
            <w:tcW w:w="470" w:type="dxa"/>
            <w:vMerge w:val="restart"/>
            <w:tcBorders>
              <w:top w:val="single" w:color="auto" w:sz="4" w:space="0"/>
              <w:left w:val="single" w:color="000000" w:sz="10" w:space="0"/>
              <w:bottom w:val="single" w:color="auto" w:sz="4" w:space="0"/>
              <w:right w:val="single" w:color="000000" w:sz="4" w:space="0"/>
            </w:tcBorders>
            <w:shd w:val="clear" w:color="auto" w:fill="FFFFFF"/>
            <w:vAlign w:val="center"/>
          </w:tcPr>
          <w:p w14:paraId="670BB648">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序号</w:t>
            </w:r>
          </w:p>
        </w:tc>
        <w:tc>
          <w:tcPr>
            <w:tcW w:w="1341"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14177143">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项目编码</w:t>
            </w:r>
          </w:p>
        </w:tc>
        <w:tc>
          <w:tcPr>
            <w:tcW w:w="1082"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663A3C2C">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项目名称</w:t>
            </w:r>
          </w:p>
        </w:tc>
        <w:tc>
          <w:tcPr>
            <w:tcW w:w="2615"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280CAE96">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项目特征描述</w:t>
            </w:r>
          </w:p>
        </w:tc>
        <w:tc>
          <w:tcPr>
            <w:tcW w:w="823"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2D82CA34">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计量</w:t>
            </w:r>
          </w:p>
          <w:p w14:paraId="58AE34D2">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单位</w:t>
            </w:r>
          </w:p>
        </w:tc>
        <w:tc>
          <w:tcPr>
            <w:tcW w:w="837"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348A6D53">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工程量</w:t>
            </w:r>
          </w:p>
        </w:tc>
        <w:tc>
          <w:tcPr>
            <w:tcW w:w="2946" w:type="dxa"/>
            <w:gridSpan w:val="6"/>
            <w:tcBorders>
              <w:top w:val="single" w:color="auto" w:sz="4" w:space="0"/>
              <w:left w:val="single" w:color="000000" w:sz="4" w:space="0"/>
              <w:bottom w:val="single" w:color="auto" w:sz="4" w:space="0"/>
              <w:right w:val="single" w:color="000000" w:sz="10" w:space="0"/>
            </w:tcBorders>
            <w:shd w:val="clear" w:color="auto" w:fill="FFFFFF"/>
            <w:vAlign w:val="center"/>
          </w:tcPr>
          <w:p w14:paraId="0D3CD000">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金额（元）</w:t>
            </w:r>
          </w:p>
        </w:tc>
      </w:tr>
      <w:tr w14:paraId="769F0D5D">
        <w:tblPrEx>
          <w:tblCellMar>
            <w:top w:w="0" w:type="dxa"/>
            <w:left w:w="0" w:type="dxa"/>
            <w:bottom w:w="0" w:type="dxa"/>
            <w:right w:w="0" w:type="dxa"/>
          </w:tblCellMar>
        </w:tblPrEx>
        <w:trPr>
          <w:trHeight w:val="301" w:hRule="exact"/>
        </w:trPr>
        <w:tc>
          <w:tcPr>
            <w:tcW w:w="470" w:type="dxa"/>
            <w:vMerge w:val="continue"/>
            <w:tcBorders>
              <w:top w:val="single" w:color="auto" w:sz="4" w:space="0"/>
              <w:left w:val="single" w:color="000000" w:sz="10" w:space="0"/>
              <w:bottom w:val="single" w:color="auto" w:sz="4" w:space="0"/>
              <w:right w:val="single" w:color="000000" w:sz="4" w:space="0"/>
            </w:tcBorders>
            <w:shd w:val="clear" w:color="auto" w:fill="FFFFFF"/>
            <w:vAlign w:val="center"/>
          </w:tcPr>
          <w:p w14:paraId="02780F79">
            <w:pPr>
              <w:rPr>
                <w:color w:val="auto"/>
                <w:highlight w:val="none"/>
              </w:rPr>
            </w:pPr>
          </w:p>
        </w:tc>
        <w:tc>
          <w:tcPr>
            <w:tcW w:w="1341"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602F93E7">
            <w:pPr>
              <w:rPr>
                <w:color w:val="auto"/>
                <w:highlight w:val="none"/>
              </w:rPr>
            </w:pPr>
          </w:p>
        </w:tc>
        <w:tc>
          <w:tcPr>
            <w:tcW w:w="1082"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293CD107">
            <w:pPr>
              <w:rPr>
                <w:color w:val="auto"/>
                <w:highlight w:val="none"/>
              </w:rPr>
            </w:pPr>
          </w:p>
        </w:tc>
        <w:tc>
          <w:tcPr>
            <w:tcW w:w="2615"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4CA4B8B3">
            <w:pPr>
              <w:rPr>
                <w:color w:val="auto"/>
                <w:highlight w:val="none"/>
              </w:rPr>
            </w:pPr>
          </w:p>
        </w:tc>
        <w:tc>
          <w:tcPr>
            <w:tcW w:w="823"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6284B821">
            <w:pPr>
              <w:rPr>
                <w:color w:val="auto"/>
                <w:highlight w:val="none"/>
              </w:rPr>
            </w:pPr>
          </w:p>
        </w:tc>
        <w:tc>
          <w:tcPr>
            <w:tcW w:w="837"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0362137A">
            <w:pPr>
              <w:jc w:val="center"/>
              <w:rPr>
                <w:color w:val="auto"/>
                <w:highlight w:val="none"/>
              </w:rPr>
            </w:pPr>
          </w:p>
        </w:tc>
        <w:tc>
          <w:tcPr>
            <w:tcW w:w="942" w:type="dxa"/>
            <w:gridSpan w:val="3"/>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6ECDE9CE">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综合单价</w:t>
            </w:r>
          </w:p>
        </w:tc>
        <w:tc>
          <w:tcPr>
            <w:tcW w:w="1009" w:type="dxa"/>
            <w:gridSpan w:val="2"/>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0E322578">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合价</w:t>
            </w:r>
          </w:p>
        </w:tc>
        <w:tc>
          <w:tcPr>
            <w:tcW w:w="995" w:type="dxa"/>
            <w:tcBorders>
              <w:top w:val="single" w:color="auto" w:sz="4" w:space="0"/>
              <w:left w:val="single" w:color="000000" w:sz="4" w:space="0"/>
              <w:bottom w:val="single" w:color="auto" w:sz="4" w:space="0"/>
              <w:right w:val="single" w:color="000000" w:sz="10" w:space="0"/>
            </w:tcBorders>
            <w:shd w:val="clear" w:color="auto" w:fill="FFFFFF"/>
            <w:vAlign w:val="center"/>
          </w:tcPr>
          <w:p w14:paraId="4969F138">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其中</w:t>
            </w:r>
          </w:p>
        </w:tc>
      </w:tr>
      <w:tr w14:paraId="60B4C385">
        <w:tblPrEx>
          <w:tblCellMar>
            <w:top w:w="0" w:type="dxa"/>
            <w:left w:w="0" w:type="dxa"/>
            <w:bottom w:w="0" w:type="dxa"/>
            <w:right w:w="0" w:type="dxa"/>
          </w:tblCellMar>
        </w:tblPrEx>
        <w:trPr>
          <w:trHeight w:val="287" w:hRule="exact"/>
        </w:trPr>
        <w:tc>
          <w:tcPr>
            <w:tcW w:w="470" w:type="dxa"/>
            <w:vMerge w:val="continue"/>
            <w:tcBorders>
              <w:top w:val="single" w:color="auto" w:sz="4" w:space="0"/>
              <w:left w:val="single" w:color="000000" w:sz="10" w:space="0"/>
              <w:bottom w:val="single" w:color="000000" w:sz="4" w:space="0"/>
              <w:right w:val="single" w:color="000000" w:sz="4" w:space="0"/>
            </w:tcBorders>
            <w:shd w:val="clear" w:color="auto" w:fill="FFFFFF"/>
            <w:vAlign w:val="center"/>
          </w:tcPr>
          <w:p w14:paraId="0641012B">
            <w:pPr>
              <w:rPr>
                <w:color w:val="auto"/>
                <w:highlight w:val="none"/>
              </w:rPr>
            </w:pPr>
          </w:p>
        </w:tc>
        <w:tc>
          <w:tcPr>
            <w:tcW w:w="1341"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34F11724">
            <w:pPr>
              <w:rPr>
                <w:color w:val="auto"/>
                <w:highlight w:val="none"/>
              </w:rPr>
            </w:pPr>
          </w:p>
        </w:tc>
        <w:tc>
          <w:tcPr>
            <w:tcW w:w="1082"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3C276EBC">
            <w:pPr>
              <w:rPr>
                <w:color w:val="auto"/>
                <w:highlight w:val="none"/>
              </w:rPr>
            </w:pPr>
          </w:p>
        </w:tc>
        <w:tc>
          <w:tcPr>
            <w:tcW w:w="2615"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281C5448">
            <w:pPr>
              <w:rPr>
                <w:color w:val="auto"/>
                <w:highlight w:val="none"/>
              </w:rPr>
            </w:pPr>
          </w:p>
        </w:tc>
        <w:tc>
          <w:tcPr>
            <w:tcW w:w="823"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118A257D">
            <w:pPr>
              <w:rPr>
                <w:color w:val="auto"/>
                <w:highlight w:val="none"/>
              </w:rPr>
            </w:pPr>
          </w:p>
        </w:tc>
        <w:tc>
          <w:tcPr>
            <w:tcW w:w="837"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4029A5F8">
            <w:pPr>
              <w:jc w:val="center"/>
              <w:rPr>
                <w:color w:val="auto"/>
                <w:highlight w:val="none"/>
              </w:rPr>
            </w:pPr>
          </w:p>
        </w:tc>
        <w:tc>
          <w:tcPr>
            <w:tcW w:w="942" w:type="dxa"/>
            <w:gridSpan w:val="3"/>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7A9E6BCF">
            <w:pPr>
              <w:rPr>
                <w:color w:val="auto"/>
                <w:highlight w:val="none"/>
              </w:rPr>
            </w:pPr>
          </w:p>
        </w:tc>
        <w:tc>
          <w:tcPr>
            <w:tcW w:w="1009" w:type="dxa"/>
            <w:gridSpan w:val="2"/>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1CEFB9DE">
            <w:pPr>
              <w:rPr>
                <w:color w:val="auto"/>
                <w:highlight w:val="none"/>
              </w:rPr>
            </w:pPr>
          </w:p>
        </w:tc>
        <w:tc>
          <w:tcPr>
            <w:tcW w:w="995" w:type="dxa"/>
            <w:tcBorders>
              <w:top w:val="single" w:color="auto" w:sz="4" w:space="0"/>
              <w:left w:val="single" w:color="000000" w:sz="4" w:space="0"/>
              <w:bottom w:val="single" w:color="000000" w:sz="4" w:space="0"/>
              <w:right w:val="single" w:color="000000" w:sz="10" w:space="0"/>
            </w:tcBorders>
            <w:shd w:val="clear" w:color="auto" w:fill="FFFFFF"/>
            <w:vAlign w:val="center"/>
          </w:tcPr>
          <w:p w14:paraId="476F6AD2">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暂估价</w:t>
            </w:r>
          </w:p>
        </w:tc>
      </w:tr>
      <w:tr w14:paraId="78B625F4">
        <w:tblPrEx>
          <w:tblCellMar>
            <w:top w:w="0" w:type="dxa"/>
            <w:left w:w="0" w:type="dxa"/>
            <w:bottom w:w="0" w:type="dxa"/>
            <w:right w:w="0" w:type="dxa"/>
          </w:tblCellMar>
        </w:tblPrEx>
        <w:trPr>
          <w:trHeight w:val="1060" w:hRule="exact"/>
        </w:trPr>
        <w:tc>
          <w:tcPr>
            <w:tcW w:w="470" w:type="dxa"/>
            <w:vMerge w:val="restart"/>
            <w:tcBorders>
              <w:top w:val="single" w:color="000000" w:sz="4" w:space="0"/>
              <w:left w:val="single" w:color="000000" w:sz="10" w:space="0"/>
              <w:bottom w:val="single" w:color="000000" w:sz="4" w:space="0"/>
              <w:right w:val="single" w:color="000000" w:sz="4" w:space="0"/>
            </w:tcBorders>
            <w:shd w:val="clear" w:color="auto" w:fill="auto"/>
            <w:vAlign w:val="center"/>
          </w:tcPr>
          <w:p w14:paraId="3CAA447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w:t>
            </w:r>
          </w:p>
        </w:tc>
        <w:tc>
          <w:tcPr>
            <w:tcW w:w="13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03A28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030410004001</w:t>
            </w:r>
          </w:p>
        </w:tc>
        <w:tc>
          <w:tcPr>
            <w:tcW w:w="10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44F7F9">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杆上设备</w:t>
            </w:r>
          </w:p>
        </w:tc>
        <w:tc>
          <w:tcPr>
            <w:tcW w:w="26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E72A99">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名称：柱上断路器</w:t>
            </w:r>
          </w:p>
          <w:p w14:paraId="2DBC150C">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2.</w:t>
            </w:r>
            <w:r>
              <w:rPr>
                <w:rFonts w:ascii="宋体" w:hAnsi="宋体" w:eastAsia="宋体" w:cs="宋体"/>
                <w:color w:val="auto"/>
                <w:spacing w:val="-2"/>
                <w:sz w:val="21"/>
                <w:highlight w:val="none"/>
              </w:rPr>
              <w:t>规格：AC10kV,630A,20kA</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真空灭弧</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用户分界</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空气绝缘</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有隔离刀闸</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 xml:space="preserve"> 电动</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弹簧</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支柱式</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罩式FTU</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电磁式互感器</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单侧PT</w:t>
            </w:r>
          </w:p>
        </w:tc>
        <w:tc>
          <w:tcPr>
            <w:tcW w:w="8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8E5F0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台</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组</w:t>
            </w:r>
            <w:r>
              <w:rPr>
                <w:rFonts w:hint="eastAsia" w:ascii="宋体" w:hAnsi="宋体" w:eastAsia="宋体" w:cs="宋体"/>
                <w:color w:val="auto"/>
                <w:spacing w:val="-2"/>
                <w:sz w:val="21"/>
                <w:highlight w:val="none"/>
                <w:lang w:eastAsia="zh-CN"/>
              </w:rPr>
              <w:t>）</w:t>
            </w:r>
          </w:p>
        </w:tc>
        <w:tc>
          <w:tcPr>
            <w:tcW w:w="8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EC786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5</w:t>
            </w:r>
          </w:p>
        </w:tc>
        <w:tc>
          <w:tcPr>
            <w:tcW w:w="942"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D8DE43">
            <w:pPr>
              <w:spacing w:line="232" w:lineRule="auto"/>
              <w:jc w:val="right"/>
              <w:rPr>
                <w:rFonts w:ascii="宋体" w:hAnsi="宋体" w:eastAsia="宋体" w:cs="宋体"/>
                <w:color w:val="auto"/>
                <w:spacing w:val="-2"/>
                <w:sz w:val="21"/>
                <w:highlight w:val="none"/>
              </w:rPr>
            </w:pPr>
          </w:p>
        </w:tc>
        <w:tc>
          <w:tcPr>
            <w:tcW w:w="100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95B8E1">
            <w:pPr>
              <w:spacing w:line="232" w:lineRule="auto"/>
              <w:jc w:val="right"/>
              <w:rPr>
                <w:rFonts w:ascii="宋体" w:hAnsi="宋体" w:eastAsia="宋体" w:cs="宋体"/>
                <w:color w:val="auto"/>
                <w:spacing w:val="-2"/>
                <w:sz w:val="21"/>
                <w:highlight w:val="none"/>
              </w:rPr>
            </w:pPr>
          </w:p>
        </w:tc>
        <w:tc>
          <w:tcPr>
            <w:tcW w:w="995" w:type="dxa"/>
            <w:vMerge w:val="restart"/>
            <w:tcBorders>
              <w:top w:val="single" w:color="000000" w:sz="4" w:space="0"/>
              <w:left w:val="single" w:color="000000" w:sz="4" w:space="0"/>
              <w:bottom w:val="single" w:color="000000" w:sz="4" w:space="0"/>
              <w:right w:val="single" w:color="000000" w:sz="10" w:space="0"/>
            </w:tcBorders>
            <w:shd w:val="clear" w:color="auto" w:fill="auto"/>
            <w:vAlign w:val="center"/>
          </w:tcPr>
          <w:p w14:paraId="26432EC6">
            <w:pPr>
              <w:spacing w:line="232" w:lineRule="auto"/>
              <w:jc w:val="right"/>
              <w:rPr>
                <w:rFonts w:ascii="宋体" w:hAnsi="宋体" w:eastAsia="宋体" w:cs="宋体"/>
                <w:color w:val="auto"/>
                <w:spacing w:val="-2"/>
                <w:sz w:val="21"/>
                <w:highlight w:val="none"/>
              </w:rPr>
            </w:pPr>
          </w:p>
        </w:tc>
      </w:tr>
      <w:tr w14:paraId="728C9CDF">
        <w:tblPrEx>
          <w:tblCellMar>
            <w:top w:w="0" w:type="dxa"/>
            <w:left w:w="0" w:type="dxa"/>
            <w:bottom w:w="0" w:type="dxa"/>
            <w:right w:w="0" w:type="dxa"/>
          </w:tblCellMar>
        </w:tblPrEx>
        <w:trPr>
          <w:trHeight w:val="746" w:hRule="exact"/>
        </w:trPr>
        <w:tc>
          <w:tcPr>
            <w:tcW w:w="470" w:type="dxa"/>
            <w:vMerge w:val="continue"/>
            <w:tcBorders>
              <w:top w:val="single" w:color="000000" w:sz="4" w:space="0"/>
              <w:left w:val="single" w:color="000000" w:sz="10" w:space="0"/>
              <w:bottom w:val="single" w:color="000000" w:sz="4" w:space="0"/>
              <w:right w:val="single" w:color="000000" w:sz="4" w:space="0"/>
            </w:tcBorders>
            <w:shd w:val="clear" w:color="auto" w:fill="auto"/>
            <w:vAlign w:val="center"/>
          </w:tcPr>
          <w:p w14:paraId="44F21616">
            <w:pPr>
              <w:rPr>
                <w:color w:val="auto"/>
                <w:highlight w:val="none"/>
              </w:rPr>
            </w:pPr>
          </w:p>
        </w:tc>
        <w:tc>
          <w:tcPr>
            <w:tcW w:w="13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9A4705">
            <w:pPr>
              <w:rPr>
                <w:color w:val="auto"/>
                <w:highlight w:val="none"/>
              </w:rPr>
            </w:pPr>
          </w:p>
        </w:tc>
        <w:tc>
          <w:tcPr>
            <w:tcW w:w="10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E30A9E">
            <w:pPr>
              <w:rPr>
                <w:color w:val="auto"/>
                <w:highlight w:val="none"/>
              </w:rPr>
            </w:pPr>
          </w:p>
        </w:tc>
        <w:tc>
          <w:tcPr>
            <w:tcW w:w="26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204DBE">
            <w:pPr>
              <w:rPr>
                <w:color w:val="auto"/>
                <w:highlight w:val="none"/>
              </w:rPr>
            </w:pPr>
          </w:p>
        </w:tc>
        <w:tc>
          <w:tcPr>
            <w:tcW w:w="8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67911E">
            <w:pPr>
              <w:rPr>
                <w:color w:val="auto"/>
                <w:highlight w:val="none"/>
              </w:rPr>
            </w:pPr>
          </w:p>
        </w:tc>
        <w:tc>
          <w:tcPr>
            <w:tcW w:w="8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E7724E">
            <w:pPr>
              <w:jc w:val="center"/>
              <w:rPr>
                <w:color w:val="auto"/>
                <w:highlight w:val="none"/>
              </w:rPr>
            </w:pPr>
          </w:p>
        </w:tc>
        <w:tc>
          <w:tcPr>
            <w:tcW w:w="942"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BB2306">
            <w:pPr>
              <w:rPr>
                <w:color w:val="auto"/>
                <w:highlight w:val="none"/>
              </w:rPr>
            </w:pPr>
          </w:p>
        </w:tc>
        <w:tc>
          <w:tcPr>
            <w:tcW w:w="10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03195C">
            <w:pPr>
              <w:rPr>
                <w:color w:val="auto"/>
                <w:highlight w:val="none"/>
              </w:rPr>
            </w:pPr>
          </w:p>
        </w:tc>
        <w:tc>
          <w:tcPr>
            <w:tcW w:w="995" w:type="dxa"/>
            <w:vMerge w:val="continue"/>
            <w:tcBorders>
              <w:top w:val="single" w:color="000000" w:sz="4" w:space="0"/>
              <w:left w:val="single" w:color="000000" w:sz="4" w:space="0"/>
              <w:bottom w:val="single" w:color="000000" w:sz="4" w:space="0"/>
              <w:right w:val="single" w:color="000000" w:sz="10" w:space="0"/>
            </w:tcBorders>
            <w:shd w:val="clear" w:color="auto" w:fill="auto"/>
            <w:vAlign w:val="center"/>
          </w:tcPr>
          <w:p w14:paraId="35187D4F">
            <w:pPr>
              <w:rPr>
                <w:color w:val="auto"/>
                <w:highlight w:val="none"/>
              </w:rPr>
            </w:pPr>
          </w:p>
        </w:tc>
      </w:tr>
      <w:tr w14:paraId="516DB304">
        <w:tblPrEx>
          <w:tblCellMar>
            <w:top w:w="0" w:type="dxa"/>
            <w:left w:w="0" w:type="dxa"/>
            <w:bottom w:w="0" w:type="dxa"/>
            <w:right w:w="0" w:type="dxa"/>
          </w:tblCellMar>
        </w:tblPrEx>
        <w:trPr>
          <w:trHeight w:val="945"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5CB9530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083C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030410001001</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E5758">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钢管杆组立</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E490C">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名称：钢管杆</w:t>
            </w:r>
          </w:p>
          <w:p w14:paraId="63FC57EF">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2.</w:t>
            </w:r>
            <w:r>
              <w:rPr>
                <w:rFonts w:ascii="宋体" w:hAnsi="宋体" w:eastAsia="宋体" w:cs="宋体"/>
                <w:color w:val="auto"/>
                <w:spacing w:val="-2"/>
                <w:sz w:val="21"/>
                <w:highlight w:val="none"/>
              </w:rPr>
              <w:t>规格：Q355-10kV双回分支带低压（10t）</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416C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根</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基</w:t>
            </w:r>
            <w:r>
              <w:rPr>
                <w:rFonts w:hint="eastAsia" w:ascii="宋体" w:hAnsi="宋体" w:eastAsia="宋体" w:cs="宋体"/>
                <w:color w:val="auto"/>
                <w:spacing w:val="-2"/>
                <w:sz w:val="21"/>
                <w:highlight w:val="none"/>
                <w:lang w:eastAsia="zh-CN"/>
              </w:rPr>
              <w:t>）</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2AA2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4</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25F37B4">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E3112F">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6F63C2A7">
            <w:pPr>
              <w:spacing w:line="232" w:lineRule="auto"/>
              <w:jc w:val="right"/>
              <w:rPr>
                <w:rFonts w:ascii="宋体" w:hAnsi="宋体" w:eastAsia="宋体" w:cs="宋体"/>
                <w:color w:val="auto"/>
                <w:spacing w:val="-2"/>
                <w:sz w:val="21"/>
                <w:highlight w:val="none"/>
              </w:rPr>
            </w:pPr>
          </w:p>
        </w:tc>
      </w:tr>
      <w:tr w14:paraId="5FB433B9">
        <w:tblPrEx>
          <w:tblCellMar>
            <w:top w:w="0" w:type="dxa"/>
            <w:left w:w="0" w:type="dxa"/>
            <w:bottom w:w="0" w:type="dxa"/>
            <w:right w:w="0" w:type="dxa"/>
          </w:tblCellMar>
        </w:tblPrEx>
        <w:trPr>
          <w:trHeight w:val="721"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123F369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426A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010516001001</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ADFA4">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钢管杆地脚螺栓</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F9523">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螺栓种类：钢管杆地脚螺栓</w:t>
            </w:r>
          </w:p>
          <w:p w14:paraId="0907F0B8">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2.</w:t>
            </w:r>
            <w:r>
              <w:rPr>
                <w:rFonts w:ascii="宋体" w:hAnsi="宋体" w:eastAsia="宋体" w:cs="宋体"/>
                <w:color w:val="auto"/>
                <w:spacing w:val="-2"/>
                <w:sz w:val="21"/>
                <w:highlight w:val="none"/>
              </w:rPr>
              <w:t>规格：1.8吨/基</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0259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t</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CCF1B">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7.2</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BC1CEFD">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4913CB">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59EAEE40">
            <w:pPr>
              <w:spacing w:line="232" w:lineRule="auto"/>
              <w:jc w:val="right"/>
              <w:rPr>
                <w:rFonts w:ascii="宋体" w:hAnsi="宋体" w:eastAsia="宋体" w:cs="宋体"/>
                <w:color w:val="auto"/>
                <w:spacing w:val="-2"/>
                <w:sz w:val="21"/>
                <w:highlight w:val="none"/>
              </w:rPr>
            </w:pPr>
          </w:p>
        </w:tc>
      </w:tr>
      <w:tr w14:paraId="3A1A0B3D">
        <w:tblPrEx>
          <w:tblCellMar>
            <w:top w:w="0" w:type="dxa"/>
            <w:left w:w="0" w:type="dxa"/>
            <w:bottom w:w="0" w:type="dxa"/>
            <w:right w:w="0" w:type="dxa"/>
          </w:tblCellMar>
        </w:tblPrEx>
        <w:trPr>
          <w:trHeight w:val="1267"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75070FF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4</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511A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030410001040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06890">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电杆组立</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E0426">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名称：锥形水泥杆</w:t>
            </w:r>
          </w:p>
          <w:p w14:paraId="4D4D2491">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2.</w:t>
            </w:r>
            <w:r>
              <w:rPr>
                <w:rFonts w:ascii="宋体" w:hAnsi="宋体" w:eastAsia="宋体" w:cs="宋体"/>
                <w:color w:val="auto"/>
                <w:spacing w:val="-2"/>
                <w:sz w:val="21"/>
                <w:highlight w:val="none"/>
              </w:rPr>
              <w:t>规格：非预应力</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杆型</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整根杆</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杆长m:10m</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梢径mm:190mm</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强度等级</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K</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0EB8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根</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基</w:t>
            </w:r>
            <w:r>
              <w:rPr>
                <w:rFonts w:hint="eastAsia" w:ascii="宋体" w:hAnsi="宋体" w:eastAsia="宋体" w:cs="宋体"/>
                <w:color w:val="auto"/>
                <w:spacing w:val="-2"/>
                <w:sz w:val="21"/>
                <w:highlight w:val="none"/>
                <w:lang w:eastAsia="zh-CN"/>
              </w:rPr>
              <w:t>）</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7F20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F879323">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E7D027">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6AB099B2">
            <w:pPr>
              <w:spacing w:line="232" w:lineRule="auto"/>
              <w:jc w:val="right"/>
              <w:rPr>
                <w:rFonts w:ascii="宋体" w:hAnsi="宋体" w:eastAsia="宋体" w:cs="宋体"/>
                <w:color w:val="auto"/>
                <w:spacing w:val="-2"/>
                <w:sz w:val="21"/>
                <w:highlight w:val="none"/>
              </w:rPr>
            </w:pPr>
          </w:p>
        </w:tc>
      </w:tr>
      <w:tr w14:paraId="5217F2F7">
        <w:tblPrEx>
          <w:tblCellMar>
            <w:top w:w="0" w:type="dxa"/>
            <w:left w:w="0" w:type="dxa"/>
            <w:bottom w:w="0" w:type="dxa"/>
            <w:right w:w="0" w:type="dxa"/>
          </w:tblCellMar>
        </w:tblPrEx>
        <w:trPr>
          <w:trHeight w:val="1225"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4DCC853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5</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0E81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030410001041</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73E20">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电杆组立</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94511">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名称：锥形水泥杆</w:t>
            </w:r>
          </w:p>
          <w:p w14:paraId="43581AFF">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2.</w:t>
            </w:r>
            <w:r>
              <w:rPr>
                <w:rFonts w:ascii="宋体" w:hAnsi="宋体" w:eastAsia="宋体" w:cs="宋体"/>
                <w:color w:val="auto"/>
                <w:spacing w:val="-2"/>
                <w:sz w:val="21"/>
                <w:highlight w:val="none"/>
              </w:rPr>
              <w:t>规格：非预应力</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杆型</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整根杆</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杆长m:15m</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梢径mm:190mm</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强度等级</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F</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A253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根</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基</w:t>
            </w:r>
            <w:r>
              <w:rPr>
                <w:rFonts w:hint="eastAsia" w:ascii="宋体" w:hAnsi="宋体" w:eastAsia="宋体" w:cs="宋体"/>
                <w:color w:val="auto"/>
                <w:spacing w:val="-2"/>
                <w:sz w:val="21"/>
                <w:highlight w:val="none"/>
                <w:lang w:eastAsia="zh-CN"/>
              </w:rPr>
              <w:t>）</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6946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4E4FFD1">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7101F4">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0F33B84B">
            <w:pPr>
              <w:spacing w:line="232" w:lineRule="auto"/>
              <w:jc w:val="right"/>
              <w:rPr>
                <w:rFonts w:ascii="宋体" w:hAnsi="宋体" w:eastAsia="宋体" w:cs="宋体"/>
                <w:color w:val="auto"/>
                <w:spacing w:val="-2"/>
                <w:sz w:val="21"/>
                <w:highlight w:val="none"/>
              </w:rPr>
            </w:pPr>
          </w:p>
        </w:tc>
      </w:tr>
      <w:tr w14:paraId="23CFED46">
        <w:tblPrEx>
          <w:tblCellMar>
            <w:top w:w="0" w:type="dxa"/>
            <w:left w:w="0" w:type="dxa"/>
            <w:bottom w:w="0" w:type="dxa"/>
            <w:right w:w="0" w:type="dxa"/>
          </w:tblCellMar>
        </w:tblPrEx>
        <w:trPr>
          <w:trHeight w:val="1060" w:hRule="exact"/>
        </w:trPr>
        <w:tc>
          <w:tcPr>
            <w:tcW w:w="470" w:type="dxa"/>
            <w:vMerge w:val="restart"/>
            <w:tcBorders>
              <w:top w:val="single" w:color="000000" w:sz="4" w:space="0"/>
              <w:left w:val="single" w:color="000000" w:sz="10" w:space="0"/>
              <w:bottom w:val="single" w:color="000000" w:sz="4" w:space="0"/>
              <w:right w:val="single" w:color="000000" w:sz="4" w:space="0"/>
            </w:tcBorders>
            <w:shd w:val="clear" w:color="auto" w:fill="auto"/>
            <w:vAlign w:val="center"/>
          </w:tcPr>
          <w:p w14:paraId="7447F35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w:t>
            </w:r>
          </w:p>
        </w:tc>
        <w:tc>
          <w:tcPr>
            <w:tcW w:w="13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1A7D4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030410001002</w:t>
            </w:r>
          </w:p>
        </w:tc>
        <w:tc>
          <w:tcPr>
            <w:tcW w:w="10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82DCDE">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电杆组立</w:t>
            </w:r>
          </w:p>
        </w:tc>
        <w:tc>
          <w:tcPr>
            <w:tcW w:w="26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18DD18">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名称：锥形水泥杆</w:t>
            </w:r>
          </w:p>
          <w:p w14:paraId="4BCDF985">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2.</w:t>
            </w:r>
            <w:r>
              <w:rPr>
                <w:rFonts w:ascii="宋体" w:hAnsi="宋体" w:eastAsia="宋体" w:cs="宋体"/>
                <w:color w:val="auto"/>
                <w:spacing w:val="-2"/>
                <w:sz w:val="21"/>
                <w:highlight w:val="none"/>
              </w:rPr>
              <w:t>规格：非预应力</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杆型</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法兰组装杆</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杆长m:18m</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梢径mm:230mm</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强度等级</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M</w:t>
            </w:r>
          </w:p>
          <w:p w14:paraId="7F48982F">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3、底盘、卡盘规格：800×800×200、800×400</w:t>
            </w:r>
          </w:p>
        </w:tc>
        <w:tc>
          <w:tcPr>
            <w:tcW w:w="8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2C7CA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根</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基</w:t>
            </w:r>
            <w:r>
              <w:rPr>
                <w:rFonts w:hint="eastAsia" w:ascii="宋体" w:hAnsi="宋体" w:eastAsia="宋体" w:cs="宋体"/>
                <w:color w:val="auto"/>
                <w:spacing w:val="-2"/>
                <w:sz w:val="21"/>
                <w:highlight w:val="none"/>
                <w:lang w:eastAsia="zh-CN"/>
              </w:rPr>
              <w:t>）</w:t>
            </w:r>
          </w:p>
        </w:tc>
        <w:tc>
          <w:tcPr>
            <w:tcW w:w="8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811E5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9</w:t>
            </w:r>
          </w:p>
        </w:tc>
        <w:tc>
          <w:tcPr>
            <w:tcW w:w="942"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CEF4F1">
            <w:pPr>
              <w:spacing w:line="232" w:lineRule="auto"/>
              <w:jc w:val="right"/>
              <w:rPr>
                <w:rFonts w:ascii="宋体" w:hAnsi="宋体" w:eastAsia="宋体" w:cs="宋体"/>
                <w:color w:val="auto"/>
                <w:spacing w:val="-2"/>
                <w:sz w:val="21"/>
                <w:highlight w:val="none"/>
              </w:rPr>
            </w:pPr>
          </w:p>
        </w:tc>
        <w:tc>
          <w:tcPr>
            <w:tcW w:w="100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9AE833">
            <w:pPr>
              <w:spacing w:line="232" w:lineRule="auto"/>
              <w:jc w:val="right"/>
              <w:rPr>
                <w:rFonts w:ascii="宋体" w:hAnsi="宋体" w:eastAsia="宋体" w:cs="宋体"/>
                <w:color w:val="auto"/>
                <w:spacing w:val="-2"/>
                <w:sz w:val="21"/>
                <w:highlight w:val="none"/>
              </w:rPr>
            </w:pPr>
          </w:p>
        </w:tc>
        <w:tc>
          <w:tcPr>
            <w:tcW w:w="995" w:type="dxa"/>
            <w:vMerge w:val="restart"/>
            <w:tcBorders>
              <w:top w:val="single" w:color="000000" w:sz="4" w:space="0"/>
              <w:left w:val="single" w:color="000000" w:sz="4" w:space="0"/>
              <w:bottom w:val="single" w:color="000000" w:sz="4" w:space="0"/>
              <w:right w:val="single" w:color="000000" w:sz="10" w:space="0"/>
            </w:tcBorders>
            <w:shd w:val="clear" w:color="auto" w:fill="auto"/>
            <w:vAlign w:val="center"/>
          </w:tcPr>
          <w:p w14:paraId="66080DE2">
            <w:pPr>
              <w:spacing w:line="232" w:lineRule="auto"/>
              <w:jc w:val="right"/>
              <w:rPr>
                <w:rFonts w:ascii="宋体" w:hAnsi="宋体" w:eastAsia="宋体" w:cs="宋体"/>
                <w:color w:val="auto"/>
                <w:spacing w:val="-2"/>
                <w:sz w:val="21"/>
                <w:highlight w:val="none"/>
              </w:rPr>
            </w:pPr>
          </w:p>
        </w:tc>
      </w:tr>
      <w:tr w14:paraId="0E3213BC">
        <w:tblPrEx>
          <w:tblCellMar>
            <w:top w:w="0" w:type="dxa"/>
            <w:left w:w="0" w:type="dxa"/>
            <w:bottom w:w="0" w:type="dxa"/>
            <w:right w:w="0" w:type="dxa"/>
          </w:tblCellMar>
        </w:tblPrEx>
        <w:trPr>
          <w:trHeight w:val="615" w:hRule="exact"/>
        </w:trPr>
        <w:tc>
          <w:tcPr>
            <w:tcW w:w="470" w:type="dxa"/>
            <w:vMerge w:val="continue"/>
            <w:tcBorders>
              <w:top w:val="single" w:color="000000" w:sz="4" w:space="0"/>
              <w:left w:val="single" w:color="000000" w:sz="10" w:space="0"/>
              <w:bottom w:val="single" w:color="000000" w:sz="4" w:space="0"/>
              <w:right w:val="single" w:color="000000" w:sz="4" w:space="0"/>
            </w:tcBorders>
            <w:shd w:val="clear" w:color="auto" w:fill="auto"/>
            <w:vAlign w:val="center"/>
          </w:tcPr>
          <w:p w14:paraId="1B7DD3EF">
            <w:pPr>
              <w:rPr>
                <w:color w:val="auto"/>
                <w:highlight w:val="none"/>
              </w:rPr>
            </w:pPr>
          </w:p>
        </w:tc>
        <w:tc>
          <w:tcPr>
            <w:tcW w:w="13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931574">
            <w:pPr>
              <w:rPr>
                <w:color w:val="auto"/>
                <w:highlight w:val="none"/>
              </w:rPr>
            </w:pPr>
          </w:p>
        </w:tc>
        <w:tc>
          <w:tcPr>
            <w:tcW w:w="10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B1A17E">
            <w:pPr>
              <w:rPr>
                <w:color w:val="auto"/>
                <w:highlight w:val="none"/>
              </w:rPr>
            </w:pPr>
          </w:p>
        </w:tc>
        <w:tc>
          <w:tcPr>
            <w:tcW w:w="26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6B6F4E">
            <w:pPr>
              <w:rPr>
                <w:color w:val="auto"/>
                <w:highlight w:val="none"/>
              </w:rPr>
            </w:pPr>
          </w:p>
        </w:tc>
        <w:tc>
          <w:tcPr>
            <w:tcW w:w="8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0DB1CD">
            <w:pPr>
              <w:rPr>
                <w:color w:val="auto"/>
                <w:highlight w:val="none"/>
              </w:rPr>
            </w:pPr>
          </w:p>
        </w:tc>
        <w:tc>
          <w:tcPr>
            <w:tcW w:w="8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9B22BC">
            <w:pPr>
              <w:jc w:val="center"/>
              <w:rPr>
                <w:color w:val="auto"/>
                <w:highlight w:val="none"/>
              </w:rPr>
            </w:pPr>
          </w:p>
        </w:tc>
        <w:tc>
          <w:tcPr>
            <w:tcW w:w="942"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A9C67E">
            <w:pPr>
              <w:rPr>
                <w:color w:val="auto"/>
                <w:highlight w:val="none"/>
              </w:rPr>
            </w:pPr>
          </w:p>
        </w:tc>
        <w:tc>
          <w:tcPr>
            <w:tcW w:w="10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3239B1">
            <w:pPr>
              <w:rPr>
                <w:color w:val="auto"/>
                <w:highlight w:val="none"/>
              </w:rPr>
            </w:pPr>
          </w:p>
        </w:tc>
        <w:tc>
          <w:tcPr>
            <w:tcW w:w="995" w:type="dxa"/>
            <w:vMerge w:val="continue"/>
            <w:tcBorders>
              <w:top w:val="single" w:color="000000" w:sz="4" w:space="0"/>
              <w:left w:val="single" w:color="000000" w:sz="4" w:space="0"/>
              <w:bottom w:val="single" w:color="000000" w:sz="4" w:space="0"/>
              <w:right w:val="single" w:color="000000" w:sz="10" w:space="0"/>
            </w:tcBorders>
            <w:shd w:val="clear" w:color="auto" w:fill="auto"/>
            <w:vAlign w:val="center"/>
          </w:tcPr>
          <w:p w14:paraId="73C53200">
            <w:pPr>
              <w:rPr>
                <w:color w:val="auto"/>
                <w:highlight w:val="none"/>
              </w:rPr>
            </w:pPr>
          </w:p>
        </w:tc>
      </w:tr>
      <w:tr w14:paraId="15E704B8">
        <w:tblPrEx>
          <w:tblCellMar>
            <w:top w:w="0" w:type="dxa"/>
            <w:left w:w="0" w:type="dxa"/>
            <w:bottom w:w="0" w:type="dxa"/>
            <w:right w:w="0" w:type="dxa"/>
          </w:tblCellMar>
        </w:tblPrEx>
        <w:trPr>
          <w:trHeight w:val="660"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338B810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7</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D0CA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030408001013</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6426F">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电力电缆</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C5D9A">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ZC-YJV22-8.7/15kV-3*400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C5F7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m</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7C0B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780</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C942FB4">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E847DF">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4660C097">
            <w:pPr>
              <w:spacing w:line="232" w:lineRule="auto"/>
              <w:jc w:val="right"/>
              <w:rPr>
                <w:rFonts w:ascii="宋体" w:hAnsi="宋体" w:eastAsia="宋体" w:cs="宋体"/>
                <w:color w:val="auto"/>
                <w:spacing w:val="-2"/>
                <w:sz w:val="21"/>
                <w:highlight w:val="none"/>
              </w:rPr>
            </w:pPr>
          </w:p>
        </w:tc>
      </w:tr>
      <w:tr w14:paraId="04A29FD0">
        <w:tblPrEx>
          <w:tblCellMar>
            <w:top w:w="0" w:type="dxa"/>
            <w:left w:w="0" w:type="dxa"/>
            <w:bottom w:w="0" w:type="dxa"/>
            <w:right w:w="0" w:type="dxa"/>
          </w:tblCellMar>
        </w:tblPrEx>
        <w:trPr>
          <w:trHeight w:val="693"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7C53F53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8</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A91A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030408006005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D7108">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电力电缆头</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3C1D9">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(300-400</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平方（含铜端子）</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F5C9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0922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8</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E4E78BC">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533852">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0A70AF0E">
            <w:pPr>
              <w:spacing w:line="232" w:lineRule="auto"/>
              <w:jc w:val="right"/>
              <w:rPr>
                <w:rFonts w:ascii="宋体" w:hAnsi="宋体" w:eastAsia="宋体" w:cs="宋体"/>
                <w:color w:val="auto"/>
                <w:spacing w:val="-2"/>
                <w:sz w:val="21"/>
                <w:highlight w:val="none"/>
              </w:rPr>
            </w:pPr>
          </w:p>
        </w:tc>
      </w:tr>
      <w:tr w14:paraId="545F0403">
        <w:tblPrEx>
          <w:tblCellMar>
            <w:top w:w="0" w:type="dxa"/>
            <w:left w:w="0" w:type="dxa"/>
            <w:bottom w:w="0" w:type="dxa"/>
            <w:right w:w="0" w:type="dxa"/>
          </w:tblCellMar>
        </w:tblPrEx>
        <w:trPr>
          <w:trHeight w:val="1126"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5048C09B">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9</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7ABE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030408001014</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1F47D">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电力电缆</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C95A0">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名称：低压电力电缆</w:t>
            </w:r>
          </w:p>
          <w:p w14:paraId="23C4A0F8">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2.</w:t>
            </w:r>
            <w:r>
              <w:rPr>
                <w:rFonts w:ascii="宋体" w:hAnsi="宋体" w:eastAsia="宋体" w:cs="宋体"/>
                <w:color w:val="auto"/>
                <w:spacing w:val="-2"/>
                <w:sz w:val="21"/>
                <w:highlight w:val="none"/>
              </w:rPr>
              <w:t>规格：ZC-YJV22-0.6/1.0kV-4*95</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6C88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m</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59F1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26</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6C866C">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9213F6">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3B4D27D1">
            <w:pPr>
              <w:spacing w:line="232" w:lineRule="auto"/>
              <w:jc w:val="right"/>
              <w:rPr>
                <w:rFonts w:ascii="宋体" w:hAnsi="宋体" w:eastAsia="宋体" w:cs="宋体"/>
                <w:color w:val="auto"/>
                <w:spacing w:val="-2"/>
                <w:sz w:val="21"/>
                <w:highlight w:val="none"/>
              </w:rPr>
            </w:pPr>
          </w:p>
        </w:tc>
      </w:tr>
      <w:tr w14:paraId="1B9A1779">
        <w:tblPrEx>
          <w:tblCellMar>
            <w:top w:w="0" w:type="dxa"/>
            <w:left w:w="0" w:type="dxa"/>
            <w:bottom w:w="0" w:type="dxa"/>
            <w:right w:w="0" w:type="dxa"/>
          </w:tblCellMar>
        </w:tblPrEx>
        <w:trPr>
          <w:trHeight w:val="946"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314B540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10</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A700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030408001015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B788E">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电力电缆</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26ACA">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名称：低压电力电缆</w:t>
            </w:r>
          </w:p>
          <w:p w14:paraId="01C8650E">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2.</w:t>
            </w:r>
            <w:r>
              <w:rPr>
                <w:rFonts w:ascii="宋体" w:hAnsi="宋体" w:eastAsia="宋体" w:cs="宋体"/>
                <w:color w:val="auto"/>
                <w:spacing w:val="-2"/>
                <w:sz w:val="21"/>
                <w:highlight w:val="none"/>
              </w:rPr>
              <w:t>规格：ZC-YJV22-0.6/1.0kV-4*120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DF1B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m</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28D6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11</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8A4B859">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B619BA">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47ED12A8">
            <w:pPr>
              <w:spacing w:line="232" w:lineRule="auto"/>
              <w:jc w:val="right"/>
              <w:rPr>
                <w:rFonts w:ascii="宋体" w:hAnsi="宋体" w:eastAsia="宋体" w:cs="宋体"/>
                <w:color w:val="auto"/>
                <w:spacing w:val="-2"/>
                <w:sz w:val="21"/>
                <w:highlight w:val="none"/>
              </w:rPr>
            </w:pPr>
          </w:p>
        </w:tc>
      </w:tr>
      <w:tr w14:paraId="3BEA89E6">
        <w:tblPrEx>
          <w:tblCellMar>
            <w:top w:w="0" w:type="dxa"/>
            <w:left w:w="0" w:type="dxa"/>
            <w:bottom w:w="0" w:type="dxa"/>
            <w:right w:w="0" w:type="dxa"/>
          </w:tblCellMar>
        </w:tblPrEx>
        <w:trPr>
          <w:trHeight w:val="867"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3346A29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11</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705D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030408006006</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BC3CA">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电力电缆头</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BB10C">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BDB5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5E74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8</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F3A2995">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88A525">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5F29AEA2">
            <w:pPr>
              <w:spacing w:line="232" w:lineRule="auto"/>
              <w:jc w:val="right"/>
              <w:rPr>
                <w:rFonts w:ascii="宋体" w:hAnsi="宋体" w:eastAsia="宋体" w:cs="宋体"/>
                <w:color w:val="auto"/>
                <w:spacing w:val="-2"/>
                <w:sz w:val="21"/>
                <w:highlight w:val="none"/>
              </w:rPr>
            </w:pPr>
          </w:p>
        </w:tc>
      </w:tr>
      <w:tr w14:paraId="7C31C61A">
        <w:tblPrEx>
          <w:tblCellMar>
            <w:top w:w="0" w:type="dxa"/>
            <w:left w:w="0" w:type="dxa"/>
            <w:bottom w:w="0" w:type="dxa"/>
            <w:right w:w="0" w:type="dxa"/>
          </w:tblCellMar>
        </w:tblPrEx>
        <w:trPr>
          <w:trHeight w:val="725" w:hRule="exact"/>
        </w:trPr>
        <w:tc>
          <w:tcPr>
            <w:tcW w:w="8110" w:type="dxa"/>
            <w:gridSpan w:val="9"/>
            <w:tcBorders>
              <w:top w:val="single" w:color="000000" w:sz="4" w:space="0"/>
              <w:left w:val="single" w:color="000000" w:sz="10" w:space="0"/>
              <w:bottom w:val="single" w:color="000000" w:sz="10" w:space="0"/>
              <w:right w:val="single" w:color="000000" w:sz="4" w:space="0"/>
            </w:tcBorders>
            <w:shd w:val="clear" w:color="auto" w:fill="auto"/>
            <w:vAlign w:val="center"/>
          </w:tcPr>
          <w:p w14:paraId="0E19B67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本页小计</w:t>
            </w:r>
          </w:p>
        </w:tc>
        <w:tc>
          <w:tcPr>
            <w:tcW w:w="1009" w:type="dxa"/>
            <w:gridSpan w:val="2"/>
            <w:tcBorders>
              <w:top w:val="single" w:color="000000" w:sz="4" w:space="0"/>
              <w:left w:val="single" w:color="000000" w:sz="4" w:space="0"/>
              <w:bottom w:val="single" w:color="000000" w:sz="10" w:space="0"/>
              <w:right w:val="single" w:color="000000" w:sz="4" w:space="0"/>
            </w:tcBorders>
            <w:shd w:val="clear" w:color="auto" w:fill="auto"/>
          </w:tcPr>
          <w:p w14:paraId="5C5A9D56">
            <w:pPr>
              <w:spacing w:line="232" w:lineRule="auto"/>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10" w:space="0"/>
              <w:right w:val="single" w:color="000000" w:sz="10" w:space="0"/>
            </w:tcBorders>
            <w:shd w:val="clear" w:color="auto" w:fill="auto"/>
          </w:tcPr>
          <w:p w14:paraId="29337977">
            <w:pPr>
              <w:spacing w:line="232" w:lineRule="auto"/>
              <w:rPr>
                <w:rFonts w:ascii="宋体" w:hAnsi="宋体" w:eastAsia="宋体" w:cs="宋体"/>
                <w:color w:val="auto"/>
                <w:spacing w:val="-2"/>
                <w:sz w:val="21"/>
                <w:highlight w:val="none"/>
              </w:rPr>
            </w:pPr>
          </w:p>
        </w:tc>
      </w:tr>
      <w:tr w14:paraId="50875C5F">
        <w:tblPrEx>
          <w:tblCellMar>
            <w:top w:w="0" w:type="dxa"/>
            <w:left w:w="0" w:type="dxa"/>
            <w:bottom w:w="0" w:type="dxa"/>
            <w:right w:w="0" w:type="dxa"/>
          </w:tblCellMar>
        </w:tblPrEx>
        <w:trPr>
          <w:trHeight w:val="674" w:hRule="exact"/>
        </w:trPr>
        <w:tc>
          <w:tcPr>
            <w:tcW w:w="10114" w:type="dxa"/>
            <w:gridSpan w:val="12"/>
            <w:tcBorders>
              <w:top w:val="single" w:color="auto" w:sz="4" w:space="0"/>
              <w:left w:val="single" w:color="auto" w:sz="4" w:space="0"/>
              <w:bottom w:val="single" w:color="auto" w:sz="4" w:space="0"/>
              <w:right w:val="single" w:color="auto" w:sz="4" w:space="0"/>
            </w:tcBorders>
            <w:shd w:val="clear" w:color="auto" w:fill="auto"/>
            <w:vAlign w:val="center"/>
          </w:tcPr>
          <w:p w14:paraId="1C1BA7D9">
            <w:pPr>
              <w:spacing w:line="232" w:lineRule="auto"/>
              <w:jc w:val="center"/>
              <w:rPr>
                <w:rFonts w:hint="eastAsia" w:ascii="宋体" w:hAnsi="宋体" w:eastAsia="宋体" w:cs="宋体"/>
                <w:b/>
                <w:color w:val="auto"/>
                <w:spacing w:val="-2"/>
                <w:sz w:val="32"/>
                <w:highlight w:val="none"/>
                <w:lang w:eastAsia="zh-CN"/>
              </w:rPr>
            </w:pPr>
            <w:r>
              <w:rPr>
                <w:rFonts w:hint="eastAsia" w:ascii="宋体" w:hAnsi="宋体" w:eastAsia="宋体" w:cs="宋体"/>
                <w:b/>
                <w:color w:val="auto"/>
                <w:spacing w:val="-2"/>
                <w:sz w:val="32"/>
                <w:highlight w:val="none"/>
                <w:lang w:eastAsia="zh-CN"/>
              </w:rPr>
              <w:t>全费用工程量清单与计价表</w:t>
            </w:r>
          </w:p>
        </w:tc>
      </w:tr>
      <w:tr w14:paraId="26DE6A75">
        <w:tblPrEx>
          <w:tblCellMar>
            <w:top w:w="0" w:type="dxa"/>
            <w:left w:w="0" w:type="dxa"/>
            <w:bottom w:w="0" w:type="dxa"/>
            <w:right w:w="0" w:type="dxa"/>
          </w:tblCellMar>
        </w:tblPrEx>
        <w:trPr>
          <w:trHeight w:val="344" w:hRule="exact"/>
        </w:trPr>
        <w:tc>
          <w:tcPr>
            <w:tcW w:w="5508"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3179D069">
            <w:pPr>
              <w:spacing w:line="232" w:lineRule="auto"/>
              <w:rPr>
                <w:rFonts w:ascii="黑体" w:hAnsi="黑体" w:eastAsia="黑体" w:cs="黑体"/>
                <w:color w:val="auto"/>
                <w:spacing w:val="-2"/>
                <w:sz w:val="21"/>
                <w:highlight w:val="none"/>
              </w:rPr>
            </w:pPr>
            <w:r>
              <w:rPr>
                <w:rFonts w:ascii="黑体" w:hAnsi="黑体" w:eastAsia="黑体" w:cs="黑体"/>
                <w:color w:val="auto"/>
                <w:spacing w:val="-2"/>
                <w:sz w:val="21"/>
                <w:highlight w:val="none"/>
              </w:rPr>
              <w:t>工程名称：安装</w:t>
            </w:r>
          </w:p>
        </w:tc>
        <w:tc>
          <w:tcPr>
            <w:tcW w:w="191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663DD46">
            <w:pPr>
              <w:spacing w:line="232" w:lineRule="auto"/>
              <w:rPr>
                <w:rFonts w:ascii="黑体" w:hAnsi="黑体" w:eastAsia="黑体" w:cs="黑体"/>
                <w:color w:val="auto"/>
                <w:spacing w:val="-2"/>
                <w:sz w:val="21"/>
                <w:highlight w:val="none"/>
              </w:rPr>
            </w:pPr>
            <w:r>
              <w:rPr>
                <w:rFonts w:ascii="黑体" w:hAnsi="黑体" w:eastAsia="黑体" w:cs="黑体"/>
                <w:color w:val="auto"/>
                <w:spacing w:val="-2"/>
                <w:sz w:val="21"/>
                <w:highlight w:val="none"/>
              </w:rPr>
              <w:t>标段：</w:t>
            </w:r>
          </w:p>
        </w:tc>
        <w:tc>
          <w:tcPr>
            <w:tcW w:w="2694"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6676E571">
            <w:pPr>
              <w:spacing w:line="232" w:lineRule="auto"/>
              <w:jc w:val="right"/>
              <w:rPr>
                <w:rFonts w:ascii="黑体" w:hAnsi="黑体" w:eastAsia="黑体" w:cs="黑体"/>
                <w:color w:val="auto"/>
                <w:spacing w:val="-2"/>
                <w:sz w:val="21"/>
                <w:highlight w:val="none"/>
              </w:rPr>
            </w:pPr>
            <w:r>
              <w:rPr>
                <w:rFonts w:ascii="黑体" w:hAnsi="黑体" w:eastAsia="黑体" w:cs="黑体"/>
                <w:color w:val="auto"/>
                <w:spacing w:val="-2"/>
                <w:sz w:val="21"/>
                <w:highlight w:val="none"/>
              </w:rPr>
              <w:t>第2页 共5页</w:t>
            </w:r>
          </w:p>
        </w:tc>
      </w:tr>
      <w:tr w14:paraId="5D235967">
        <w:tblPrEx>
          <w:tblCellMar>
            <w:top w:w="0" w:type="dxa"/>
            <w:left w:w="0" w:type="dxa"/>
            <w:bottom w:w="0" w:type="dxa"/>
            <w:right w:w="0" w:type="dxa"/>
          </w:tblCellMar>
        </w:tblPrEx>
        <w:trPr>
          <w:trHeight w:val="300" w:hRule="exact"/>
        </w:trPr>
        <w:tc>
          <w:tcPr>
            <w:tcW w:w="470" w:type="dxa"/>
            <w:vMerge w:val="restart"/>
            <w:tcBorders>
              <w:top w:val="single" w:color="auto" w:sz="4" w:space="0"/>
              <w:left w:val="single" w:color="000000" w:sz="10" w:space="0"/>
              <w:bottom w:val="single" w:color="auto" w:sz="4" w:space="0"/>
              <w:right w:val="single" w:color="000000" w:sz="4" w:space="0"/>
            </w:tcBorders>
            <w:shd w:val="clear" w:color="auto" w:fill="FFFFFF"/>
            <w:vAlign w:val="center"/>
          </w:tcPr>
          <w:p w14:paraId="68BE0C03">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序号</w:t>
            </w:r>
          </w:p>
        </w:tc>
        <w:tc>
          <w:tcPr>
            <w:tcW w:w="1341"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14C7A59B">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项目编码</w:t>
            </w:r>
          </w:p>
        </w:tc>
        <w:tc>
          <w:tcPr>
            <w:tcW w:w="1082"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2D3F44B5">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项目名称</w:t>
            </w:r>
          </w:p>
        </w:tc>
        <w:tc>
          <w:tcPr>
            <w:tcW w:w="2615"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5A11C528">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项目特征描述</w:t>
            </w:r>
          </w:p>
        </w:tc>
        <w:tc>
          <w:tcPr>
            <w:tcW w:w="823"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1F4EC2C8">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计量</w:t>
            </w:r>
          </w:p>
          <w:p w14:paraId="390D0D40">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单位</w:t>
            </w:r>
          </w:p>
        </w:tc>
        <w:tc>
          <w:tcPr>
            <w:tcW w:w="837"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42A2F0E2">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工程量</w:t>
            </w:r>
          </w:p>
        </w:tc>
        <w:tc>
          <w:tcPr>
            <w:tcW w:w="2946" w:type="dxa"/>
            <w:gridSpan w:val="6"/>
            <w:tcBorders>
              <w:top w:val="single" w:color="auto" w:sz="4" w:space="0"/>
              <w:left w:val="single" w:color="000000" w:sz="4" w:space="0"/>
              <w:bottom w:val="single" w:color="auto" w:sz="4" w:space="0"/>
              <w:right w:val="single" w:color="000000" w:sz="10" w:space="0"/>
            </w:tcBorders>
            <w:shd w:val="clear" w:color="auto" w:fill="FFFFFF"/>
            <w:vAlign w:val="center"/>
          </w:tcPr>
          <w:p w14:paraId="330F586C">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金额（元）</w:t>
            </w:r>
          </w:p>
        </w:tc>
      </w:tr>
      <w:tr w14:paraId="3742E80D">
        <w:tblPrEx>
          <w:tblCellMar>
            <w:top w:w="0" w:type="dxa"/>
            <w:left w:w="0" w:type="dxa"/>
            <w:bottom w:w="0" w:type="dxa"/>
            <w:right w:w="0" w:type="dxa"/>
          </w:tblCellMar>
        </w:tblPrEx>
        <w:trPr>
          <w:trHeight w:val="301" w:hRule="exact"/>
        </w:trPr>
        <w:tc>
          <w:tcPr>
            <w:tcW w:w="470" w:type="dxa"/>
            <w:vMerge w:val="continue"/>
            <w:tcBorders>
              <w:top w:val="single" w:color="auto" w:sz="4" w:space="0"/>
              <w:left w:val="single" w:color="000000" w:sz="10" w:space="0"/>
              <w:bottom w:val="single" w:color="auto" w:sz="4" w:space="0"/>
              <w:right w:val="single" w:color="000000" w:sz="4" w:space="0"/>
            </w:tcBorders>
            <w:shd w:val="clear" w:color="auto" w:fill="FFFFFF"/>
            <w:vAlign w:val="center"/>
          </w:tcPr>
          <w:p w14:paraId="1C46C3D1">
            <w:pPr>
              <w:rPr>
                <w:color w:val="auto"/>
                <w:highlight w:val="none"/>
              </w:rPr>
            </w:pPr>
          </w:p>
        </w:tc>
        <w:tc>
          <w:tcPr>
            <w:tcW w:w="1341"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7758DEC6">
            <w:pPr>
              <w:rPr>
                <w:color w:val="auto"/>
                <w:highlight w:val="none"/>
              </w:rPr>
            </w:pPr>
          </w:p>
        </w:tc>
        <w:tc>
          <w:tcPr>
            <w:tcW w:w="1082"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7B863628">
            <w:pPr>
              <w:rPr>
                <w:color w:val="auto"/>
                <w:highlight w:val="none"/>
              </w:rPr>
            </w:pPr>
          </w:p>
        </w:tc>
        <w:tc>
          <w:tcPr>
            <w:tcW w:w="2615"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2C3ECFF7">
            <w:pPr>
              <w:rPr>
                <w:color w:val="auto"/>
                <w:highlight w:val="none"/>
              </w:rPr>
            </w:pPr>
          </w:p>
        </w:tc>
        <w:tc>
          <w:tcPr>
            <w:tcW w:w="823"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6DA811CC">
            <w:pPr>
              <w:rPr>
                <w:color w:val="auto"/>
                <w:highlight w:val="none"/>
              </w:rPr>
            </w:pPr>
          </w:p>
        </w:tc>
        <w:tc>
          <w:tcPr>
            <w:tcW w:w="837"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7716EC4C">
            <w:pPr>
              <w:rPr>
                <w:color w:val="auto"/>
                <w:highlight w:val="none"/>
              </w:rPr>
            </w:pPr>
          </w:p>
        </w:tc>
        <w:tc>
          <w:tcPr>
            <w:tcW w:w="942" w:type="dxa"/>
            <w:gridSpan w:val="3"/>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79DBEBD1">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综合单价</w:t>
            </w:r>
          </w:p>
        </w:tc>
        <w:tc>
          <w:tcPr>
            <w:tcW w:w="1009" w:type="dxa"/>
            <w:gridSpan w:val="2"/>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5971C058">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合价</w:t>
            </w:r>
          </w:p>
        </w:tc>
        <w:tc>
          <w:tcPr>
            <w:tcW w:w="995" w:type="dxa"/>
            <w:tcBorders>
              <w:top w:val="single" w:color="auto" w:sz="4" w:space="0"/>
              <w:left w:val="single" w:color="000000" w:sz="4" w:space="0"/>
              <w:bottom w:val="single" w:color="auto" w:sz="4" w:space="0"/>
              <w:right w:val="single" w:color="000000" w:sz="10" w:space="0"/>
            </w:tcBorders>
            <w:shd w:val="clear" w:color="auto" w:fill="FFFFFF"/>
            <w:vAlign w:val="center"/>
          </w:tcPr>
          <w:p w14:paraId="265D7E30">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其中</w:t>
            </w:r>
          </w:p>
        </w:tc>
      </w:tr>
      <w:tr w14:paraId="12F898AA">
        <w:tblPrEx>
          <w:tblCellMar>
            <w:top w:w="0" w:type="dxa"/>
            <w:left w:w="0" w:type="dxa"/>
            <w:bottom w:w="0" w:type="dxa"/>
            <w:right w:w="0" w:type="dxa"/>
          </w:tblCellMar>
        </w:tblPrEx>
        <w:trPr>
          <w:trHeight w:val="287" w:hRule="exact"/>
        </w:trPr>
        <w:tc>
          <w:tcPr>
            <w:tcW w:w="470" w:type="dxa"/>
            <w:vMerge w:val="continue"/>
            <w:tcBorders>
              <w:top w:val="single" w:color="auto" w:sz="4" w:space="0"/>
              <w:left w:val="single" w:color="000000" w:sz="10" w:space="0"/>
              <w:bottom w:val="single" w:color="000000" w:sz="4" w:space="0"/>
              <w:right w:val="single" w:color="000000" w:sz="4" w:space="0"/>
            </w:tcBorders>
            <w:shd w:val="clear" w:color="auto" w:fill="FFFFFF"/>
            <w:vAlign w:val="center"/>
          </w:tcPr>
          <w:p w14:paraId="04E64BA6">
            <w:pPr>
              <w:rPr>
                <w:color w:val="auto"/>
                <w:highlight w:val="none"/>
              </w:rPr>
            </w:pPr>
          </w:p>
        </w:tc>
        <w:tc>
          <w:tcPr>
            <w:tcW w:w="1341"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4D4334B8">
            <w:pPr>
              <w:rPr>
                <w:color w:val="auto"/>
                <w:highlight w:val="none"/>
              </w:rPr>
            </w:pPr>
          </w:p>
        </w:tc>
        <w:tc>
          <w:tcPr>
            <w:tcW w:w="1082"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415735A7">
            <w:pPr>
              <w:rPr>
                <w:color w:val="auto"/>
                <w:highlight w:val="none"/>
              </w:rPr>
            </w:pPr>
          </w:p>
        </w:tc>
        <w:tc>
          <w:tcPr>
            <w:tcW w:w="2615"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1231C419">
            <w:pPr>
              <w:rPr>
                <w:color w:val="auto"/>
                <w:highlight w:val="none"/>
              </w:rPr>
            </w:pPr>
          </w:p>
        </w:tc>
        <w:tc>
          <w:tcPr>
            <w:tcW w:w="823"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39F6AC77">
            <w:pPr>
              <w:rPr>
                <w:color w:val="auto"/>
                <w:highlight w:val="none"/>
              </w:rPr>
            </w:pPr>
          </w:p>
        </w:tc>
        <w:tc>
          <w:tcPr>
            <w:tcW w:w="837"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37F3D8DB">
            <w:pPr>
              <w:rPr>
                <w:color w:val="auto"/>
                <w:highlight w:val="none"/>
              </w:rPr>
            </w:pPr>
          </w:p>
        </w:tc>
        <w:tc>
          <w:tcPr>
            <w:tcW w:w="942" w:type="dxa"/>
            <w:gridSpan w:val="3"/>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55263810">
            <w:pPr>
              <w:rPr>
                <w:color w:val="auto"/>
                <w:highlight w:val="none"/>
              </w:rPr>
            </w:pPr>
          </w:p>
        </w:tc>
        <w:tc>
          <w:tcPr>
            <w:tcW w:w="1009" w:type="dxa"/>
            <w:gridSpan w:val="2"/>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6EDAA2AA">
            <w:pPr>
              <w:rPr>
                <w:color w:val="auto"/>
                <w:highlight w:val="none"/>
              </w:rPr>
            </w:pPr>
          </w:p>
        </w:tc>
        <w:tc>
          <w:tcPr>
            <w:tcW w:w="995" w:type="dxa"/>
            <w:tcBorders>
              <w:top w:val="single" w:color="auto" w:sz="4" w:space="0"/>
              <w:left w:val="single" w:color="000000" w:sz="4" w:space="0"/>
              <w:bottom w:val="single" w:color="000000" w:sz="4" w:space="0"/>
              <w:right w:val="single" w:color="000000" w:sz="10" w:space="0"/>
            </w:tcBorders>
            <w:shd w:val="clear" w:color="auto" w:fill="FFFFFF"/>
            <w:vAlign w:val="center"/>
          </w:tcPr>
          <w:p w14:paraId="2B31E445">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暂估价</w:t>
            </w:r>
          </w:p>
        </w:tc>
      </w:tr>
      <w:tr w14:paraId="52257175">
        <w:tblPrEx>
          <w:tblCellMar>
            <w:top w:w="0" w:type="dxa"/>
            <w:left w:w="0" w:type="dxa"/>
            <w:bottom w:w="0" w:type="dxa"/>
            <w:right w:w="0" w:type="dxa"/>
          </w:tblCellMar>
        </w:tblPrEx>
        <w:trPr>
          <w:trHeight w:val="1211"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758C873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12</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E5AB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030410004002</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A020E">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10kV跌落式熔断器</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A2159">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名称：10kV跌落式熔断器</w:t>
            </w:r>
          </w:p>
          <w:p w14:paraId="0621C816">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2.</w:t>
            </w:r>
            <w:r>
              <w:rPr>
                <w:rFonts w:ascii="宋体" w:hAnsi="宋体" w:eastAsia="宋体" w:cs="宋体"/>
                <w:color w:val="auto"/>
                <w:spacing w:val="-2"/>
                <w:sz w:val="21"/>
                <w:highlight w:val="none"/>
              </w:rPr>
              <w:t>规格：AC10kV</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跌落式</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200A</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D8B0B">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台</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B990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13</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4936D2A">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BA02E6">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110AA18F">
            <w:pPr>
              <w:spacing w:line="232" w:lineRule="auto"/>
              <w:jc w:val="right"/>
              <w:rPr>
                <w:rFonts w:ascii="宋体" w:hAnsi="宋体" w:eastAsia="宋体" w:cs="宋体"/>
                <w:color w:val="auto"/>
                <w:spacing w:val="-2"/>
                <w:sz w:val="21"/>
                <w:highlight w:val="none"/>
              </w:rPr>
            </w:pPr>
          </w:p>
        </w:tc>
      </w:tr>
      <w:tr w14:paraId="76DBFAC9">
        <w:tblPrEx>
          <w:tblCellMar>
            <w:top w:w="0" w:type="dxa"/>
            <w:left w:w="0" w:type="dxa"/>
            <w:bottom w:w="0" w:type="dxa"/>
            <w:right w:w="0" w:type="dxa"/>
          </w:tblCellMar>
        </w:tblPrEx>
        <w:trPr>
          <w:trHeight w:val="758"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1044284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13</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DAFC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030402010002</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EDF54">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避雷器</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11E6A">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10kV氧化锌避雷器 HY5WS-17/50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F37D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台</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89A5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15</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421FBD8">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7DFFEE">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228B3C7E">
            <w:pPr>
              <w:spacing w:line="232" w:lineRule="auto"/>
              <w:jc w:val="right"/>
              <w:rPr>
                <w:rFonts w:ascii="宋体" w:hAnsi="宋体" w:eastAsia="宋体" w:cs="宋体"/>
                <w:color w:val="auto"/>
                <w:spacing w:val="-2"/>
                <w:sz w:val="21"/>
                <w:highlight w:val="none"/>
              </w:rPr>
            </w:pPr>
          </w:p>
        </w:tc>
      </w:tr>
      <w:tr w14:paraId="7BC78802">
        <w:tblPrEx>
          <w:tblCellMar>
            <w:top w:w="0" w:type="dxa"/>
            <w:left w:w="0" w:type="dxa"/>
            <w:bottom w:w="0" w:type="dxa"/>
            <w:right w:w="0" w:type="dxa"/>
          </w:tblCellMar>
        </w:tblPrEx>
        <w:trPr>
          <w:trHeight w:val="946" w:hRule="exact"/>
        </w:trPr>
        <w:tc>
          <w:tcPr>
            <w:tcW w:w="470" w:type="dxa"/>
            <w:vMerge w:val="restart"/>
            <w:tcBorders>
              <w:top w:val="single" w:color="000000" w:sz="4" w:space="0"/>
              <w:left w:val="single" w:color="000000" w:sz="10" w:space="0"/>
              <w:bottom w:val="single" w:color="000000" w:sz="4" w:space="0"/>
              <w:right w:val="single" w:color="000000" w:sz="4" w:space="0"/>
            </w:tcBorders>
            <w:shd w:val="clear" w:color="auto" w:fill="auto"/>
            <w:vAlign w:val="center"/>
          </w:tcPr>
          <w:p w14:paraId="7A986EC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14</w:t>
            </w:r>
          </w:p>
        </w:tc>
        <w:tc>
          <w:tcPr>
            <w:tcW w:w="13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D5A11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030402010003</w:t>
            </w:r>
          </w:p>
        </w:tc>
        <w:tc>
          <w:tcPr>
            <w:tcW w:w="10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2AB624">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线路避雷器</w:t>
            </w:r>
          </w:p>
        </w:tc>
        <w:tc>
          <w:tcPr>
            <w:tcW w:w="26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781305">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名称：线路避雷器</w:t>
            </w:r>
          </w:p>
          <w:p w14:paraId="2931A9E8">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2.</w:t>
            </w:r>
            <w:r>
              <w:rPr>
                <w:rFonts w:ascii="宋体" w:hAnsi="宋体" w:eastAsia="宋体" w:cs="宋体"/>
                <w:color w:val="auto"/>
                <w:spacing w:val="-2"/>
                <w:sz w:val="21"/>
                <w:highlight w:val="none"/>
              </w:rPr>
              <w:t>规格：AC10kV</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额定电压</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13kV</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外绝缘材质</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硅橡胶,雷电额定残压:40kV</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是否带间隙</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带间隙</w:t>
            </w:r>
          </w:p>
        </w:tc>
        <w:tc>
          <w:tcPr>
            <w:tcW w:w="8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855B2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B388A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48</w:t>
            </w:r>
          </w:p>
        </w:tc>
        <w:tc>
          <w:tcPr>
            <w:tcW w:w="942"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783DF1">
            <w:pPr>
              <w:spacing w:line="232" w:lineRule="auto"/>
              <w:jc w:val="right"/>
              <w:rPr>
                <w:rFonts w:ascii="宋体" w:hAnsi="宋体" w:eastAsia="宋体" w:cs="宋体"/>
                <w:color w:val="auto"/>
                <w:spacing w:val="-2"/>
                <w:sz w:val="21"/>
                <w:highlight w:val="none"/>
              </w:rPr>
            </w:pPr>
          </w:p>
        </w:tc>
        <w:tc>
          <w:tcPr>
            <w:tcW w:w="100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0B0E64">
            <w:pPr>
              <w:spacing w:line="232" w:lineRule="auto"/>
              <w:jc w:val="right"/>
              <w:rPr>
                <w:rFonts w:ascii="宋体" w:hAnsi="宋体" w:eastAsia="宋体" w:cs="宋体"/>
                <w:color w:val="auto"/>
                <w:spacing w:val="-2"/>
                <w:sz w:val="21"/>
                <w:highlight w:val="none"/>
              </w:rPr>
            </w:pPr>
          </w:p>
        </w:tc>
        <w:tc>
          <w:tcPr>
            <w:tcW w:w="995" w:type="dxa"/>
            <w:vMerge w:val="restart"/>
            <w:tcBorders>
              <w:top w:val="single" w:color="000000" w:sz="4" w:space="0"/>
              <w:left w:val="single" w:color="000000" w:sz="4" w:space="0"/>
              <w:bottom w:val="single" w:color="000000" w:sz="4" w:space="0"/>
              <w:right w:val="single" w:color="000000" w:sz="10" w:space="0"/>
            </w:tcBorders>
            <w:shd w:val="clear" w:color="auto" w:fill="auto"/>
            <w:vAlign w:val="center"/>
          </w:tcPr>
          <w:p w14:paraId="7319AE02">
            <w:pPr>
              <w:spacing w:line="232" w:lineRule="auto"/>
              <w:jc w:val="right"/>
              <w:rPr>
                <w:rFonts w:ascii="宋体" w:hAnsi="宋体" w:eastAsia="宋体" w:cs="宋体"/>
                <w:color w:val="auto"/>
                <w:spacing w:val="-2"/>
                <w:sz w:val="21"/>
                <w:highlight w:val="none"/>
              </w:rPr>
            </w:pPr>
          </w:p>
        </w:tc>
      </w:tr>
      <w:tr w14:paraId="4465E2D7">
        <w:tblPrEx>
          <w:tblCellMar>
            <w:top w:w="0" w:type="dxa"/>
            <w:left w:w="0" w:type="dxa"/>
            <w:bottom w:w="0" w:type="dxa"/>
            <w:right w:w="0" w:type="dxa"/>
          </w:tblCellMar>
        </w:tblPrEx>
        <w:trPr>
          <w:trHeight w:val="423" w:hRule="exact"/>
        </w:trPr>
        <w:tc>
          <w:tcPr>
            <w:tcW w:w="470" w:type="dxa"/>
            <w:vMerge w:val="continue"/>
            <w:tcBorders>
              <w:top w:val="single" w:color="000000" w:sz="4" w:space="0"/>
              <w:left w:val="single" w:color="000000" w:sz="10" w:space="0"/>
              <w:bottom w:val="single" w:color="000000" w:sz="4" w:space="0"/>
              <w:right w:val="single" w:color="000000" w:sz="4" w:space="0"/>
            </w:tcBorders>
            <w:shd w:val="clear" w:color="auto" w:fill="auto"/>
            <w:vAlign w:val="center"/>
          </w:tcPr>
          <w:p w14:paraId="6A9B2767">
            <w:pPr>
              <w:rPr>
                <w:color w:val="auto"/>
                <w:highlight w:val="none"/>
              </w:rPr>
            </w:pPr>
          </w:p>
        </w:tc>
        <w:tc>
          <w:tcPr>
            <w:tcW w:w="13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5B142E">
            <w:pPr>
              <w:rPr>
                <w:color w:val="auto"/>
                <w:highlight w:val="none"/>
              </w:rPr>
            </w:pPr>
          </w:p>
        </w:tc>
        <w:tc>
          <w:tcPr>
            <w:tcW w:w="10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3E63E3">
            <w:pPr>
              <w:rPr>
                <w:color w:val="auto"/>
                <w:highlight w:val="none"/>
              </w:rPr>
            </w:pPr>
          </w:p>
        </w:tc>
        <w:tc>
          <w:tcPr>
            <w:tcW w:w="26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3A8548">
            <w:pPr>
              <w:rPr>
                <w:color w:val="auto"/>
                <w:highlight w:val="none"/>
              </w:rPr>
            </w:pPr>
          </w:p>
        </w:tc>
        <w:tc>
          <w:tcPr>
            <w:tcW w:w="8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6B7428">
            <w:pPr>
              <w:rPr>
                <w:color w:val="auto"/>
                <w:highlight w:val="none"/>
              </w:rPr>
            </w:pPr>
          </w:p>
        </w:tc>
        <w:tc>
          <w:tcPr>
            <w:tcW w:w="8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5D7F8A">
            <w:pPr>
              <w:jc w:val="center"/>
              <w:rPr>
                <w:color w:val="auto"/>
                <w:highlight w:val="none"/>
              </w:rPr>
            </w:pPr>
          </w:p>
        </w:tc>
        <w:tc>
          <w:tcPr>
            <w:tcW w:w="942"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90C96F">
            <w:pPr>
              <w:rPr>
                <w:color w:val="auto"/>
                <w:highlight w:val="none"/>
              </w:rPr>
            </w:pPr>
          </w:p>
        </w:tc>
        <w:tc>
          <w:tcPr>
            <w:tcW w:w="10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394710">
            <w:pPr>
              <w:rPr>
                <w:color w:val="auto"/>
                <w:highlight w:val="none"/>
              </w:rPr>
            </w:pPr>
          </w:p>
        </w:tc>
        <w:tc>
          <w:tcPr>
            <w:tcW w:w="995" w:type="dxa"/>
            <w:vMerge w:val="continue"/>
            <w:tcBorders>
              <w:top w:val="single" w:color="000000" w:sz="4" w:space="0"/>
              <w:left w:val="single" w:color="000000" w:sz="4" w:space="0"/>
              <w:bottom w:val="single" w:color="000000" w:sz="4" w:space="0"/>
              <w:right w:val="single" w:color="000000" w:sz="10" w:space="0"/>
            </w:tcBorders>
            <w:shd w:val="clear" w:color="auto" w:fill="auto"/>
            <w:vAlign w:val="center"/>
          </w:tcPr>
          <w:p w14:paraId="32471018">
            <w:pPr>
              <w:rPr>
                <w:color w:val="auto"/>
                <w:highlight w:val="none"/>
              </w:rPr>
            </w:pPr>
          </w:p>
        </w:tc>
      </w:tr>
      <w:tr w14:paraId="2C716EA4">
        <w:tblPrEx>
          <w:tblCellMar>
            <w:top w:w="0" w:type="dxa"/>
            <w:left w:w="0" w:type="dxa"/>
            <w:bottom w:w="0" w:type="dxa"/>
            <w:right w:w="0" w:type="dxa"/>
          </w:tblCellMar>
        </w:tblPrEx>
        <w:trPr>
          <w:trHeight w:val="946"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5759AA4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15</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E51C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030410001039</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159DD">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绝缘护罩</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BFBA6">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名称：绝缘护罩</w:t>
            </w:r>
          </w:p>
          <w:p w14:paraId="2502C2F1">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2.</w:t>
            </w:r>
            <w:r>
              <w:rPr>
                <w:rFonts w:ascii="宋体" w:hAnsi="宋体" w:eastAsia="宋体" w:cs="宋体"/>
                <w:color w:val="auto"/>
                <w:spacing w:val="-2"/>
                <w:sz w:val="21"/>
                <w:highlight w:val="none"/>
              </w:rPr>
              <w:t>规格：绝缘护罩，分相色，导线类绝缘护罩</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C0E2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FE6E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24</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B3B57BE">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21E58B">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5DFC18E7">
            <w:pPr>
              <w:spacing w:line="232" w:lineRule="auto"/>
              <w:jc w:val="right"/>
              <w:rPr>
                <w:rFonts w:ascii="宋体" w:hAnsi="宋体" w:eastAsia="宋体" w:cs="宋体"/>
                <w:color w:val="auto"/>
                <w:spacing w:val="-2"/>
                <w:sz w:val="21"/>
                <w:highlight w:val="none"/>
              </w:rPr>
            </w:pPr>
          </w:p>
        </w:tc>
      </w:tr>
      <w:tr w14:paraId="243E537B">
        <w:tblPrEx>
          <w:tblCellMar>
            <w:top w:w="0" w:type="dxa"/>
            <w:left w:w="0" w:type="dxa"/>
            <w:bottom w:w="0" w:type="dxa"/>
            <w:right w:w="0" w:type="dxa"/>
          </w:tblCellMar>
        </w:tblPrEx>
        <w:trPr>
          <w:trHeight w:val="730"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2FD5F32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16</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8F57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030402010004</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8BD6D">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接地线夹</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CA4EB">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名称：接地线夹</w:t>
            </w:r>
          </w:p>
          <w:p w14:paraId="028E4685">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2、规格：DL-50-240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5440B">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A257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72</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FA29ED7">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873370">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6FA2F802">
            <w:pPr>
              <w:spacing w:line="232" w:lineRule="auto"/>
              <w:jc w:val="right"/>
              <w:rPr>
                <w:rFonts w:ascii="宋体" w:hAnsi="宋体" w:eastAsia="宋体" w:cs="宋体"/>
                <w:color w:val="auto"/>
                <w:spacing w:val="-2"/>
                <w:sz w:val="21"/>
                <w:highlight w:val="none"/>
              </w:rPr>
            </w:pPr>
          </w:p>
        </w:tc>
      </w:tr>
      <w:tr w14:paraId="55610573">
        <w:tblPrEx>
          <w:tblCellMar>
            <w:top w:w="0" w:type="dxa"/>
            <w:left w:w="0" w:type="dxa"/>
            <w:bottom w:w="0" w:type="dxa"/>
            <w:right w:w="0" w:type="dxa"/>
          </w:tblCellMar>
        </w:tblPrEx>
        <w:trPr>
          <w:trHeight w:val="1190"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1A8D2AB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17</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AC21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030404031001</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B22A4">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压接端子</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DB7D0">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名称：接线端子</w:t>
            </w:r>
          </w:p>
          <w:p w14:paraId="562240AE">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2.</w:t>
            </w:r>
            <w:r>
              <w:rPr>
                <w:rFonts w:ascii="宋体" w:hAnsi="宋体" w:eastAsia="宋体" w:cs="宋体"/>
                <w:color w:val="auto"/>
                <w:spacing w:val="-2"/>
                <w:sz w:val="21"/>
                <w:highlight w:val="none"/>
              </w:rPr>
              <w:t>接线端子材质、规格：铜铝过渡</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截面mm2:240mm2</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型式</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双孔</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6DA5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2944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24</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9C7628A">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014738">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00987A21">
            <w:pPr>
              <w:spacing w:line="232" w:lineRule="auto"/>
              <w:jc w:val="right"/>
              <w:rPr>
                <w:rFonts w:ascii="宋体" w:hAnsi="宋体" w:eastAsia="宋体" w:cs="宋体"/>
                <w:color w:val="auto"/>
                <w:spacing w:val="-2"/>
                <w:sz w:val="21"/>
                <w:highlight w:val="none"/>
              </w:rPr>
            </w:pPr>
          </w:p>
        </w:tc>
      </w:tr>
      <w:tr w14:paraId="0D327934">
        <w:tblPrEx>
          <w:tblCellMar>
            <w:top w:w="0" w:type="dxa"/>
            <w:left w:w="0" w:type="dxa"/>
            <w:bottom w:w="0" w:type="dxa"/>
            <w:right w:w="0" w:type="dxa"/>
          </w:tblCellMar>
        </w:tblPrEx>
        <w:trPr>
          <w:trHeight w:val="940"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5A88DAE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18</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3C48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030404031002</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941D7">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压接端子</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3A645">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名称：接线端子</w:t>
            </w:r>
          </w:p>
          <w:p w14:paraId="49CD689C">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2.</w:t>
            </w:r>
            <w:r>
              <w:rPr>
                <w:rFonts w:ascii="宋体" w:hAnsi="宋体" w:eastAsia="宋体" w:cs="宋体"/>
                <w:color w:val="auto"/>
                <w:spacing w:val="-2"/>
                <w:sz w:val="21"/>
                <w:highlight w:val="none"/>
              </w:rPr>
              <w:t>接线端子材质、规格：铝</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截面mm2:50mm2</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型式</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单孔</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4EF9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8895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32</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5AE5180">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EDF3FF">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2F337EC5">
            <w:pPr>
              <w:spacing w:line="232" w:lineRule="auto"/>
              <w:jc w:val="right"/>
              <w:rPr>
                <w:rFonts w:ascii="宋体" w:hAnsi="宋体" w:eastAsia="宋体" w:cs="宋体"/>
                <w:color w:val="auto"/>
                <w:spacing w:val="-2"/>
                <w:sz w:val="21"/>
                <w:highlight w:val="none"/>
              </w:rPr>
            </w:pPr>
          </w:p>
        </w:tc>
      </w:tr>
      <w:tr w14:paraId="234F96D8">
        <w:tblPrEx>
          <w:tblCellMar>
            <w:top w:w="0" w:type="dxa"/>
            <w:left w:w="0" w:type="dxa"/>
            <w:bottom w:w="0" w:type="dxa"/>
            <w:right w:w="0" w:type="dxa"/>
          </w:tblCellMar>
        </w:tblPrEx>
        <w:trPr>
          <w:trHeight w:val="765"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63C598B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19</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9AA4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030410002001</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8D0A8">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横担组装</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B1AFF">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名称：单回横担</w:t>
            </w:r>
          </w:p>
          <w:p w14:paraId="3053C14E">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2.</w:t>
            </w:r>
            <w:r>
              <w:rPr>
                <w:rFonts w:ascii="宋体" w:hAnsi="宋体" w:eastAsia="宋体" w:cs="宋体"/>
                <w:color w:val="auto"/>
                <w:spacing w:val="-2"/>
                <w:sz w:val="21"/>
                <w:highlight w:val="none"/>
              </w:rPr>
              <w:t>规格：∠80mm×8mm×1700mm</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4462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组</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9D27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16</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3104E48">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55FB6A">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62535DAD">
            <w:pPr>
              <w:spacing w:line="232" w:lineRule="auto"/>
              <w:jc w:val="right"/>
              <w:rPr>
                <w:rFonts w:ascii="宋体" w:hAnsi="宋体" w:eastAsia="宋体" w:cs="宋体"/>
                <w:color w:val="auto"/>
                <w:spacing w:val="-2"/>
                <w:sz w:val="21"/>
                <w:highlight w:val="none"/>
              </w:rPr>
            </w:pPr>
          </w:p>
        </w:tc>
      </w:tr>
      <w:tr w14:paraId="177008F7">
        <w:tblPrEx>
          <w:tblCellMar>
            <w:top w:w="0" w:type="dxa"/>
            <w:left w:w="0" w:type="dxa"/>
            <w:bottom w:w="0" w:type="dxa"/>
            <w:right w:w="0" w:type="dxa"/>
          </w:tblCellMar>
        </w:tblPrEx>
        <w:trPr>
          <w:trHeight w:val="754"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497C1B8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20</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C061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030410002002</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319E2">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横担组装</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AD4A6">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名称：四回横担1</w:t>
            </w:r>
          </w:p>
          <w:p w14:paraId="13910736">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2.</w:t>
            </w:r>
            <w:r>
              <w:rPr>
                <w:rFonts w:ascii="宋体" w:hAnsi="宋体" w:eastAsia="宋体" w:cs="宋体"/>
                <w:color w:val="auto"/>
                <w:spacing w:val="-2"/>
                <w:sz w:val="21"/>
                <w:highlight w:val="none"/>
              </w:rPr>
              <w:t>规格：∠80mm×8mm×1500mm</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1CBA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组</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CCEF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18</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F70EDD5">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CCE047">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74399772">
            <w:pPr>
              <w:spacing w:line="232" w:lineRule="auto"/>
              <w:jc w:val="right"/>
              <w:rPr>
                <w:rFonts w:ascii="宋体" w:hAnsi="宋体" w:eastAsia="宋体" w:cs="宋体"/>
                <w:color w:val="auto"/>
                <w:spacing w:val="-2"/>
                <w:sz w:val="21"/>
                <w:highlight w:val="none"/>
              </w:rPr>
            </w:pPr>
          </w:p>
        </w:tc>
      </w:tr>
      <w:tr w14:paraId="43E324A6">
        <w:tblPrEx>
          <w:tblCellMar>
            <w:top w:w="0" w:type="dxa"/>
            <w:left w:w="0" w:type="dxa"/>
            <w:bottom w:w="0" w:type="dxa"/>
            <w:right w:w="0" w:type="dxa"/>
          </w:tblCellMar>
        </w:tblPrEx>
        <w:trPr>
          <w:trHeight w:val="946"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3343CDF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21</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B86F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030410002003</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64326">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横担组装</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07380">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名称：四回横担2</w:t>
            </w:r>
          </w:p>
          <w:p w14:paraId="6395B2B8">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2.</w:t>
            </w:r>
            <w:r>
              <w:rPr>
                <w:rFonts w:ascii="宋体" w:hAnsi="宋体" w:eastAsia="宋体" w:cs="宋体"/>
                <w:color w:val="auto"/>
                <w:spacing w:val="-2"/>
                <w:sz w:val="21"/>
                <w:highlight w:val="none"/>
              </w:rPr>
              <w:t>规格：∠80mm×8mm×2600mm</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105D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组</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AAE3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32</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EB879E0">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E71F1B">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0CBFD7C9">
            <w:pPr>
              <w:spacing w:line="232" w:lineRule="auto"/>
              <w:jc w:val="right"/>
              <w:rPr>
                <w:rFonts w:ascii="宋体" w:hAnsi="宋体" w:eastAsia="宋体" w:cs="宋体"/>
                <w:color w:val="auto"/>
                <w:spacing w:val="-2"/>
                <w:sz w:val="21"/>
                <w:highlight w:val="none"/>
              </w:rPr>
            </w:pPr>
          </w:p>
        </w:tc>
      </w:tr>
      <w:tr w14:paraId="4B1BE321">
        <w:tblPrEx>
          <w:tblCellMar>
            <w:top w:w="0" w:type="dxa"/>
            <w:left w:w="0" w:type="dxa"/>
            <w:bottom w:w="0" w:type="dxa"/>
            <w:right w:w="0" w:type="dxa"/>
          </w:tblCellMar>
        </w:tblPrEx>
        <w:trPr>
          <w:trHeight w:val="780"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7FA1D11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22</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DCC2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030410002005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4CCAD">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横担组装</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4FB0F">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名称：爬线横担</w:t>
            </w:r>
          </w:p>
          <w:p w14:paraId="4200796D">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2.</w:t>
            </w:r>
            <w:r>
              <w:rPr>
                <w:rFonts w:ascii="宋体" w:hAnsi="宋体" w:eastAsia="宋体" w:cs="宋体"/>
                <w:color w:val="auto"/>
                <w:spacing w:val="-2"/>
                <w:sz w:val="21"/>
                <w:highlight w:val="none"/>
              </w:rPr>
              <w:t>规格：∠63mm×6mm×2300mm</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BF9D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组</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84FD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0C6A415">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14DC81">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006CED18">
            <w:pPr>
              <w:spacing w:line="232" w:lineRule="auto"/>
              <w:jc w:val="right"/>
              <w:rPr>
                <w:rFonts w:ascii="宋体" w:hAnsi="宋体" w:eastAsia="宋体" w:cs="宋体"/>
                <w:color w:val="auto"/>
                <w:spacing w:val="-2"/>
                <w:sz w:val="21"/>
                <w:highlight w:val="none"/>
              </w:rPr>
            </w:pPr>
          </w:p>
        </w:tc>
      </w:tr>
      <w:tr w14:paraId="77217347">
        <w:tblPrEx>
          <w:tblCellMar>
            <w:top w:w="0" w:type="dxa"/>
            <w:left w:w="0" w:type="dxa"/>
            <w:bottom w:w="0" w:type="dxa"/>
            <w:right w:w="0" w:type="dxa"/>
          </w:tblCellMar>
        </w:tblPrEx>
        <w:trPr>
          <w:trHeight w:val="904"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4B8E8BD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23</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A087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030410002007</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1743A">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横担组装</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A3DA7">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名称：斜撑</w:t>
            </w:r>
          </w:p>
          <w:p w14:paraId="17367799">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2.</w:t>
            </w:r>
            <w:r>
              <w:rPr>
                <w:rFonts w:ascii="宋体" w:hAnsi="宋体" w:eastAsia="宋体" w:cs="宋体"/>
                <w:color w:val="auto"/>
                <w:spacing w:val="-2"/>
                <w:sz w:val="21"/>
                <w:highlight w:val="none"/>
              </w:rPr>
              <w:t>规格：∠50mm×5mm×1000mm</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7DA8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组</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9D7A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36</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D370336">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7ECFBA">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59F175F8">
            <w:pPr>
              <w:spacing w:line="232" w:lineRule="auto"/>
              <w:jc w:val="right"/>
              <w:rPr>
                <w:rFonts w:ascii="宋体" w:hAnsi="宋体" w:eastAsia="宋体" w:cs="宋体"/>
                <w:color w:val="auto"/>
                <w:spacing w:val="-2"/>
                <w:sz w:val="21"/>
                <w:highlight w:val="none"/>
              </w:rPr>
            </w:pPr>
          </w:p>
        </w:tc>
      </w:tr>
      <w:tr w14:paraId="0D7CCE16">
        <w:tblPrEx>
          <w:tblCellMar>
            <w:top w:w="0" w:type="dxa"/>
            <w:left w:w="0" w:type="dxa"/>
            <w:bottom w:w="0" w:type="dxa"/>
            <w:right w:w="0" w:type="dxa"/>
          </w:tblCellMar>
        </w:tblPrEx>
        <w:trPr>
          <w:trHeight w:val="946"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7312B26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24</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3AB3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030409001001</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E77B3">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接地极</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84595">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名称：垂直接地极</w:t>
            </w:r>
          </w:p>
          <w:p w14:paraId="6892F67D">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2、规格：∠50*5*2500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48F0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根</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块</w:t>
            </w:r>
            <w:r>
              <w:rPr>
                <w:rFonts w:hint="eastAsia" w:ascii="宋体" w:hAnsi="宋体" w:eastAsia="宋体" w:cs="宋体"/>
                <w:color w:val="auto"/>
                <w:spacing w:val="-2"/>
                <w:sz w:val="21"/>
                <w:highlight w:val="none"/>
                <w:lang w:eastAsia="zh-CN"/>
              </w:rPr>
              <w:t>）</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2426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25</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FCF0EE7">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F44D2B">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21AB14FD">
            <w:pPr>
              <w:spacing w:line="232" w:lineRule="auto"/>
              <w:jc w:val="right"/>
              <w:rPr>
                <w:rFonts w:ascii="宋体" w:hAnsi="宋体" w:eastAsia="宋体" w:cs="宋体"/>
                <w:color w:val="auto"/>
                <w:spacing w:val="-2"/>
                <w:sz w:val="21"/>
                <w:highlight w:val="none"/>
              </w:rPr>
            </w:pPr>
          </w:p>
        </w:tc>
      </w:tr>
      <w:tr w14:paraId="058C10F2">
        <w:tblPrEx>
          <w:tblCellMar>
            <w:top w:w="0" w:type="dxa"/>
            <w:left w:w="0" w:type="dxa"/>
            <w:bottom w:w="0" w:type="dxa"/>
            <w:right w:w="0" w:type="dxa"/>
          </w:tblCellMar>
        </w:tblPrEx>
        <w:trPr>
          <w:trHeight w:val="549" w:hRule="exact"/>
        </w:trPr>
        <w:tc>
          <w:tcPr>
            <w:tcW w:w="8110" w:type="dxa"/>
            <w:gridSpan w:val="9"/>
            <w:tcBorders>
              <w:top w:val="single" w:color="000000" w:sz="4" w:space="0"/>
              <w:left w:val="single" w:color="000000" w:sz="10" w:space="0"/>
              <w:bottom w:val="single" w:color="auto" w:sz="4" w:space="0"/>
              <w:right w:val="single" w:color="000000" w:sz="4" w:space="0"/>
            </w:tcBorders>
            <w:shd w:val="clear" w:color="auto" w:fill="auto"/>
            <w:vAlign w:val="center"/>
          </w:tcPr>
          <w:p w14:paraId="12DF7C4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本页小计</w:t>
            </w:r>
          </w:p>
        </w:tc>
        <w:tc>
          <w:tcPr>
            <w:tcW w:w="1009" w:type="dxa"/>
            <w:gridSpan w:val="2"/>
            <w:tcBorders>
              <w:top w:val="single" w:color="000000" w:sz="4" w:space="0"/>
              <w:left w:val="single" w:color="000000" w:sz="4" w:space="0"/>
              <w:bottom w:val="single" w:color="auto" w:sz="4" w:space="0"/>
              <w:right w:val="single" w:color="000000" w:sz="4" w:space="0"/>
            </w:tcBorders>
            <w:shd w:val="clear" w:color="auto" w:fill="auto"/>
          </w:tcPr>
          <w:p w14:paraId="6CC6FC0E">
            <w:pPr>
              <w:spacing w:line="232" w:lineRule="auto"/>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auto" w:sz="4" w:space="0"/>
              <w:right w:val="single" w:color="000000" w:sz="10" w:space="0"/>
            </w:tcBorders>
            <w:shd w:val="clear" w:color="auto" w:fill="auto"/>
          </w:tcPr>
          <w:p w14:paraId="41892DB5">
            <w:pPr>
              <w:spacing w:line="232" w:lineRule="auto"/>
              <w:rPr>
                <w:rFonts w:ascii="宋体" w:hAnsi="宋体" w:eastAsia="宋体" w:cs="宋体"/>
                <w:color w:val="auto"/>
                <w:spacing w:val="-2"/>
                <w:sz w:val="21"/>
                <w:highlight w:val="none"/>
              </w:rPr>
            </w:pPr>
          </w:p>
        </w:tc>
      </w:tr>
      <w:tr w14:paraId="3B885AC1">
        <w:tblPrEx>
          <w:tblCellMar>
            <w:top w:w="0" w:type="dxa"/>
            <w:left w:w="0" w:type="dxa"/>
            <w:bottom w:w="0" w:type="dxa"/>
            <w:right w:w="0" w:type="dxa"/>
          </w:tblCellMar>
        </w:tblPrEx>
        <w:trPr>
          <w:trHeight w:val="674" w:hRule="exact"/>
        </w:trPr>
        <w:tc>
          <w:tcPr>
            <w:tcW w:w="10114" w:type="dxa"/>
            <w:gridSpan w:val="12"/>
            <w:tcBorders>
              <w:top w:val="single" w:color="auto" w:sz="4" w:space="0"/>
              <w:left w:val="single" w:color="auto" w:sz="4" w:space="0"/>
              <w:bottom w:val="single" w:color="auto" w:sz="4" w:space="0"/>
              <w:right w:val="single" w:color="auto" w:sz="4" w:space="0"/>
            </w:tcBorders>
            <w:shd w:val="clear" w:color="auto" w:fill="auto"/>
            <w:vAlign w:val="center"/>
          </w:tcPr>
          <w:p w14:paraId="45762701">
            <w:pPr>
              <w:spacing w:line="232" w:lineRule="auto"/>
              <w:jc w:val="center"/>
              <w:rPr>
                <w:rFonts w:hint="eastAsia" w:ascii="宋体" w:hAnsi="宋体" w:eastAsia="宋体" w:cs="宋体"/>
                <w:b/>
                <w:color w:val="auto"/>
                <w:spacing w:val="-2"/>
                <w:sz w:val="32"/>
                <w:highlight w:val="none"/>
                <w:lang w:eastAsia="zh-CN"/>
              </w:rPr>
            </w:pPr>
            <w:r>
              <w:rPr>
                <w:rFonts w:hint="eastAsia" w:ascii="宋体" w:hAnsi="宋体" w:eastAsia="宋体" w:cs="宋体"/>
                <w:b/>
                <w:color w:val="auto"/>
                <w:spacing w:val="-2"/>
                <w:sz w:val="32"/>
                <w:highlight w:val="none"/>
                <w:lang w:eastAsia="zh-CN"/>
              </w:rPr>
              <w:t>全费用工程量清单与计价表</w:t>
            </w:r>
          </w:p>
        </w:tc>
      </w:tr>
      <w:tr w14:paraId="0D06E1FE">
        <w:tblPrEx>
          <w:tblCellMar>
            <w:top w:w="0" w:type="dxa"/>
            <w:left w:w="0" w:type="dxa"/>
            <w:bottom w:w="0" w:type="dxa"/>
            <w:right w:w="0" w:type="dxa"/>
          </w:tblCellMar>
        </w:tblPrEx>
        <w:trPr>
          <w:trHeight w:val="344" w:hRule="exact"/>
        </w:trPr>
        <w:tc>
          <w:tcPr>
            <w:tcW w:w="5508"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7A3CA0C3">
            <w:pPr>
              <w:spacing w:line="232" w:lineRule="auto"/>
              <w:rPr>
                <w:rFonts w:ascii="黑体" w:hAnsi="黑体" w:eastAsia="黑体" w:cs="黑体"/>
                <w:color w:val="auto"/>
                <w:spacing w:val="-2"/>
                <w:sz w:val="21"/>
                <w:highlight w:val="none"/>
              </w:rPr>
            </w:pPr>
            <w:r>
              <w:rPr>
                <w:rFonts w:ascii="黑体" w:hAnsi="黑体" w:eastAsia="黑体" w:cs="黑体"/>
                <w:color w:val="auto"/>
                <w:spacing w:val="-2"/>
                <w:sz w:val="21"/>
                <w:highlight w:val="none"/>
              </w:rPr>
              <w:t>工程名称：安装</w:t>
            </w:r>
          </w:p>
        </w:tc>
        <w:tc>
          <w:tcPr>
            <w:tcW w:w="284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49E014E">
            <w:pPr>
              <w:spacing w:line="232" w:lineRule="auto"/>
              <w:rPr>
                <w:rFonts w:ascii="黑体" w:hAnsi="黑体" w:eastAsia="黑体" w:cs="黑体"/>
                <w:color w:val="auto"/>
                <w:spacing w:val="-2"/>
                <w:sz w:val="21"/>
                <w:highlight w:val="none"/>
              </w:rPr>
            </w:pPr>
            <w:r>
              <w:rPr>
                <w:rFonts w:ascii="黑体" w:hAnsi="黑体" w:eastAsia="黑体" w:cs="黑体"/>
                <w:color w:val="auto"/>
                <w:spacing w:val="-2"/>
                <w:sz w:val="21"/>
                <w:highlight w:val="none"/>
              </w:rPr>
              <w:t>标段：</w:t>
            </w:r>
          </w:p>
        </w:tc>
        <w:tc>
          <w:tcPr>
            <w:tcW w:w="176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7B23EE0">
            <w:pPr>
              <w:spacing w:line="232" w:lineRule="auto"/>
              <w:jc w:val="right"/>
              <w:rPr>
                <w:rFonts w:ascii="黑体" w:hAnsi="黑体" w:eastAsia="黑体" w:cs="黑体"/>
                <w:color w:val="auto"/>
                <w:spacing w:val="-2"/>
                <w:sz w:val="21"/>
                <w:highlight w:val="none"/>
              </w:rPr>
            </w:pPr>
            <w:r>
              <w:rPr>
                <w:rFonts w:ascii="黑体" w:hAnsi="黑体" w:eastAsia="黑体" w:cs="黑体"/>
                <w:color w:val="auto"/>
                <w:spacing w:val="-2"/>
                <w:sz w:val="21"/>
                <w:highlight w:val="none"/>
              </w:rPr>
              <w:t>第3页 共5页</w:t>
            </w:r>
          </w:p>
        </w:tc>
      </w:tr>
      <w:tr w14:paraId="6B073995">
        <w:tblPrEx>
          <w:tblCellMar>
            <w:top w:w="0" w:type="dxa"/>
            <w:left w:w="0" w:type="dxa"/>
            <w:bottom w:w="0" w:type="dxa"/>
            <w:right w:w="0" w:type="dxa"/>
          </w:tblCellMar>
        </w:tblPrEx>
        <w:trPr>
          <w:trHeight w:val="301" w:hRule="exact"/>
        </w:trPr>
        <w:tc>
          <w:tcPr>
            <w:tcW w:w="470" w:type="dxa"/>
            <w:vMerge w:val="restart"/>
            <w:tcBorders>
              <w:top w:val="single" w:color="auto" w:sz="4" w:space="0"/>
              <w:left w:val="single" w:color="000000" w:sz="10" w:space="0"/>
              <w:bottom w:val="single" w:color="auto" w:sz="4" w:space="0"/>
              <w:right w:val="single" w:color="000000" w:sz="4" w:space="0"/>
            </w:tcBorders>
            <w:shd w:val="clear" w:color="auto" w:fill="FFFFFF"/>
            <w:vAlign w:val="center"/>
          </w:tcPr>
          <w:p w14:paraId="5156CFE4">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序号</w:t>
            </w:r>
          </w:p>
        </w:tc>
        <w:tc>
          <w:tcPr>
            <w:tcW w:w="1341"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50952F62">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项目编码</w:t>
            </w:r>
          </w:p>
        </w:tc>
        <w:tc>
          <w:tcPr>
            <w:tcW w:w="1082"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73330741">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项目名称</w:t>
            </w:r>
          </w:p>
        </w:tc>
        <w:tc>
          <w:tcPr>
            <w:tcW w:w="2615"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2CFC7B8E">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项目特征描述</w:t>
            </w:r>
          </w:p>
        </w:tc>
        <w:tc>
          <w:tcPr>
            <w:tcW w:w="823"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7E1C2AA6">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计量</w:t>
            </w:r>
          </w:p>
          <w:p w14:paraId="1DB393C3">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单位</w:t>
            </w:r>
          </w:p>
        </w:tc>
        <w:tc>
          <w:tcPr>
            <w:tcW w:w="837"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41B71742">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工程量</w:t>
            </w:r>
          </w:p>
        </w:tc>
        <w:tc>
          <w:tcPr>
            <w:tcW w:w="2946" w:type="dxa"/>
            <w:gridSpan w:val="6"/>
            <w:tcBorders>
              <w:top w:val="single" w:color="auto" w:sz="4" w:space="0"/>
              <w:left w:val="single" w:color="000000" w:sz="4" w:space="0"/>
              <w:bottom w:val="single" w:color="auto" w:sz="4" w:space="0"/>
              <w:right w:val="single" w:color="000000" w:sz="10" w:space="0"/>
            </w:tcBorders>
            <w:shd w:val="clear" w:color="auto" w:fill="FFFFFF"/>
            <w:vAlign w:val="center"/>
          </w:tcPr>
          <w:p w14:paraId="0845B8FB">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金额（元）</w:t>
            </w:r>
          </w:p>
        </w:tc>
      </w:tr>
      <w:tr w14:paraId="3CC20F3B">
        <w:tblPrEx>
          <w:tblCellMar>
            <w:top w:w="0" w:type="dxa"/>
            <w:left w:w="0" w:type="dxa"/>
            <w:bottom w:w="0" w:type="dxa"/>
            <w:right w:w="0" w:type="dxa"/>
          </w:tblCellMar>
        </w:tblPrEx>
        <w:trPr>
          <w:trHeight w:val="301" w:hRule="exact"/>
        </w:trPr>
        <w:tc>
          <w:tcPr>
            <w:tcW w:w="470" w:type="dxa"/>
            <w:vMerge w:val="continue"/>
            <w:tcBorders>
              <w:top w:val="single" w:color="auto" w:sz="4" w:space="0"/>
              <w:left w:val="single" w:color="000000" w:sz="10" w:space="0"/>
              <w:bottom w:val="single" w:color="auto" w:sz="4" w:space="0"/>
              <w:right w:val="single" w:color="000000" w:sz="4" w:space="0"/>
            </w:tcBorders>
            <w:shd w:val="clear" w:color="auto" w:fill="FFFFFF"/>
            <w:vAlign w:val="center"/>
          </w:tcPr>
          <w:p w14:paraId="17C340CF">
            <w:pPr>
              <w:rPr>
                <w:color w:val="auto"/>
                <w:highlight w:val="none"/>
              </w:rPr>
            </w:pPr>
          </w:p>
        </w:tc>
        <w:tc>
          <w:tcPr>
            <w:tcW w:w="1341"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3EE809BD">
            <w:pPr>
              <w:rPr>
                <w:color w:val="auto"/>
                <w:highlight w:val="none"/>
              </w:rPr>
            </w:pPr>
          </w:p>
        </w:tc>
        <w:tc>
          <w:tcPr>
            <w:tcW w:w="1082"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5EE4C05C">
            <w:pPr>
              <w:rPr>
                <w:color w:val="auto"/>
                <w:highlight w:val="none"/>
              </w:rPr>
            </w:pPr>
          </w:p>
        </w:tc>
        <w:tc>
          <w:tcPr>
            <w:tcW w:w="2615"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55641D03">
            <w:pPr>
              <w:rPr>
                <w:color w:val="auto"/>
                <w:highlight w:val="none"/>
              </w:rPr>
            </w:pPr>
          </w:p>
        </w:tc>
        <w:tc>
          <w:tcPr>
            <w:tcW w:w="823"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662B3C86">
            <w:pPr>
              <w:rPr>
                <w:color w:val="auto"/>
                <w:highlight w:val="none"/>
              </w:rPr>
            </w:pPr>
          </w:p>
        </w:tc>
        <w:tc>
          <w:tcPr>
            <w:tcW w:w="837"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7DEAC6F4">
            <w:pPr>
              <w:rPr>
                <w:color w:val="auto"/>
                <w:highlight w:val="none"/>
              </w:rPr>
            </w:pPr>
          </w:p>
        </w:tc>
        <w:tc>
          <w:tcPr>
            <w:tcW w:w="942" w:type="dxa"/>
            <w:gridSpan w:val="3"/>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6F0E8C64">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综合单价</w:t>
            </w:r>
          </w:p>
        </w:tc>
        <w:tc>
          <w:tcPr>
            <w:tcW w:w="1009" w:type="dxa"/>
            <w:gridSpan w:val="2"/>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7221CFD8">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合价</w:t>
            </w:r>
          </w:p>
        </w:tc>
        <w:tc>
          <w:tcPr>
            <w:tcW w:w="995" w:type="dxa"/>
            <w:tcBorders>
              <w:top w:val="single" w:color="auto" w:sz="4" w:space="0"/>
              <w:left w:val="single" w:color="000000" w:sz="4" w:space="0"/>
              <w:bottom w:val="single" w:color="auto" w:sz="4" w:space="0"/>
              <w:right w:val="single" w:color="000000" w:sz="10" w:space="0"/>
            </w:tcBorders>
            <w:shd w:val="clear" w:color="auto" w:fill="FFFFFF"/>
            <w:vAlign w:val="center"/>
          </w:tcPr>
          <w:p w14:paraId="0EE7B915">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其中</w:t>
            </w:r>
          </w:p>
        </w:tc>
      </w:tr>
      <w:tr w14:paraId="0320AF92">
        <w:tblPrEx>
          <w:tblCellMar>
            <w:top w:w="0" w:type="dxa"/>
            <w:left w:w="0" w:type="dxa"/>
            <w:bottom w:w="0" w:type="dxa"/>
            <w:right w:w="0" w:type="dxa"/>
          </w:tblCellMar>
        </w:tblPrEx>
        <w:trPr>
          <w:trHeight w:val="286" w:hRule="exact"/>
        </w:trPr>
        <w:tc>
          <w:tcPr>
            <w:tcW w:w="470" w:type="dxa"/>
            <w:vMerge w:val="continue"/>
            <w:tcBorders>
              <w:top w:val="single" w:color="auto" w:sz="4" w:space="0"/>
              <w:left w:val="single" w:color="000000" w:sz="10" w:space="0"/>
              <w:bottom w:val="single" w:color="000000" w:sz="4" w:space="0"/>
              <w:right w:val="single" w:color="000000" w:sz="4" w:space="0"/>
            </w:tcBorders>
            <w:shd w:val="clear" w:color="auto" w:fill="FFFFFF"/>
            <w:vAlign w:val="center"/>
          </w:tcPr>
          <w:p w14:paraId="30DA5406">
            <w:pPr>
              <w:rPr>
                <w:color w:val="auto"/>
                <w:highlight w:val="none"/>
              </w:rPr>
            </w:pPr>
          </w:p>
        </w:tc>
        <w:tc>
          <w:tcPr>
            <w:tcW w:w="1341"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42C566D0">
            <w:pPr>
              <w:rPr>
                <w:color w:val="auto"/>
                <w:highlight w:val="none"/>
              </w:rPr>
            </w:pPr>
          </w:p>
        </w:tc>
        <w:tc>
          <w:tcPr>
            <w:tcW w:w="1082"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3EFC26FF">
            <w:pPr>
              <w:rPr>
                <w:color w:val="auto"/>
                <w:highlight w:val="none"/>
              </w:rPr>
            </w:pPr>
          </w:p>
        </w:tc>
        <w:tc>
          <w:tcPr>
            <w:tcW w:w="2615"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353A3525">
            <w:pPr>
              <w:rPr>
                <w:color w:val="auto"/>
                <w:highlight w:val="none"/>
              </w:rPr>
            </w:pPr>
          </w:p>
        </w:tc>
        <w:tc>
          <w:tcPr>
            <w:tcW w:w="823"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3642DD96">
            <w:pPr>
              <w:rPr>
                <w:color w:val="auto"/>
                <w:highlight w:val="none"/>
              </w:rPr>
            </w:pPr>
          </w:p>
        </w:tc>
        <w:tc>
          <w:tcPr>
            <w:tcW w:w="837"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2A36D7B3">
            <w:pPr>
              <w:rPr>
                <w:color w:val="auto"/>
                <w:highlight w:val="none"/>
              </w:rPr>
            </w:pPr>
          </w:p>
        </w:tc>
        <w:tc>
          <w:tcPr>
            <w:tcW w:w="942" w:type="dxa"/>
            <w:gridSpan w:val="3"/>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456D0FD7">
            <w:pPr>
              <w:rPr>
                <w:color w:val="auto"/>
                <w:highlight w:val="none"/>
              </w:rPr>
            </w:pPr>
          </w:p>
        </w:tc>
        <w:tc>
          <w:tcPr>
            <w:tcW w:w="1009" w:type="dxa"/>
            <w:gridSpan w:val="2"/>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49558E5A">
            <w:pPr>
              <w:rPr>
                <w:color w:val="auto"/>
                <w:highlight w:val="none"/>
              </w:rPr>
            </w:pPr>
          </w:p>
        </w:tc>
        <w:tc>
          <w:tcPr>
            <w:tcW w:w="995" w:type="dxa"/>
            <w:tcBorders>
              <w:top w:val="single" w:color="auto" w:sz="4" w:space="0"/>
              <w:left w:val="single" w:color="000000" w:sz="4" w:space="0"/>
              <w:bottom w:val="single" w:color="000000" w:sz="4" w:space="0"/>
              <w:right w:val="single" w:color="000000" w:sz="10" w:space="0"/>
            </w:tcBorders>
            <w:shd w:val="clear" w:color="auto" w:fill="FFFFFF"/>
            <w:vAlign w:val="center"/>
          </w:tcPr>
          <w:p w14:paraId="4546224F">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暂估价</w:t>
            </w:r>
          </w:p>
        </w:tc>
      </w:tr>
      <w:tr w14:paraId="7B5A22FA">
        <w:tblPrEx>
          <w:tblCellMar>
            <w:top w:w="0" w:type="dxa"/>
            <w:left w:w="0" w:type="dxa"/>
            <w:bottom w:w="0" w:type="dxa"/>
            <w:right w:w="0" w:type="dxa"/>
          </w:tblCellMar>
        </w:tblPrEx>
        <w:trPr>
          <w:trHeight w:val="502"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AD9A4CB">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25</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2534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030409002001</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34CF4">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接地母线</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DF8FB">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名称：扁铁</w:t>
            </w:r>
          </w:p>
          <w:p w14:paraId="1BCF0628">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2、规格：-5*50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C22B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m</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46BB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102</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09E4053">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44F369">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14838440">
            <w:pPr>
              <w:spacing w:line="232" w:lineRule="auto"/>
              <w:jc w:val="right"/>
              <w:rPr>
                <w:rFonts w:ascii="宋体" w:hAnsi="宋体" w:eastAsia="宋体" w:cs="宋体"/>
                <w:color w:val="auto"/>
                <w:spacing w:val="-2"/>
                <w:sz w:val="21"/>
                <w:highlight w:val="none"/>
              </w:rPr>
            </w:pPr>
          </w:p>
        </w:tc>
      </w:tr>
      <w:tr w14:paraId="4B3A94DD">
        <w:tblPrEx>
          <w:tblCellMar>
            <w:top w:w="0" w:type="dxa"/>
            <w:left w:w="0" w:type="dxa"/>
            <w:bottom w:w="0" w:type="dxa"/>
            <w:right w:w="0" w:type="dxa"/>
          </w:tblCellMar>
        </w:tblPrEx>
        <w:trPr>
          <w:trHeight w:val="939"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141897B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26</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6569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030413001006</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1E6D1">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线路柱式瓷绝缘子</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75A99">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名称：线路柱式瓷绝缘子</w:t>
            </w:r>
          </w:p>
          <w:p w14:paraId="5B8A2EC6">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2.</w:t>
            </w:r>
            <w:r>
              <w:rPr>
                <w:rFonts w:ascii="宋体" w:hAnsi="宋体" w:eastAsia="宋体" w:cs="宋体"/>
                <w:color w:val="auto"/>
                <w:spacing w:val="-2"/>
                <w:sz w:val="21"/>
                <w:highlight w:val="none"/>
              </w:rPr>
              <w:t>规格：R5ET105L,125,283,360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6330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9759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178</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BA99CED">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64F1BC">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2ECA43AC">
            <w:pPr>
              <w:spacing w:line="232" w:lineRule="auto"/>
              <w:jc w:val="right"/>
              <w:rPr>
                <w:rFonts w:ascii="宋体" w:hAnsi="宋体" w:eastAsia="宋体" w:cs="宋体"/>
                <w:color w:val="auto"/>
                <w:spacing w:val="-2"/>
                <w:sz w:val="21"/>
                <w:highlight w:val="none"/>
              </w:rPr>
            </w:pPr>
          </w:p>
        </w:tc>
      </w:tr>
      <w:tr w14:paraId="08FFD79A">
        <w:tblPrEx>
          <w:tblCellMar>
            <w:top w:w="0" w:type="dxa"/>
            <w:left w:w="0" w:type="dxa"/>
            <w:bottom w:w="0" w:type="dxa"/>
            <w:right w:w="0" w:type="dxa"/>
          </w:tblCellMar>
        </w:tblPrEx>
        <w:trPr>
          <w:trHeight w:val="663"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109148A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27</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1A25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030413001007</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CDB5E">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交流棒形悬式复合绝缘子</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0D546">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交流棒形悬式复合绝缘子FXBW-10/70</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含上下均压环</w:t>
            </w:r>
            <w:r>
              <w:rPr>
                <w:rFonts w:hint="eastAsia" w:ascii="宋体" w:hAnsi="宋体" w:eastAsia="宋体" w:cs="宋体"/>
                <w:color w:val="auto"/>
                <w:spacing w:val="-2"/>
                <w:sz w:val="21"/>
                <w:highlight w:val="none"/>
                <w:lang w:eastAsia="zh-CN"/>
              </w:rPr>
              <w:t>）</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25E1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1550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108</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F44DA9B">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9C8DAD">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0E65D35B">
            <w:pPr>
              <w:spacing w:line="232" w:lineRule="auto"/>
              <w:jc w:val="right"/>
              <w:rPr>
                <w:rFonts w:ascii="宋体" w:hAnsi="宋体" w:eastAsia="宋体" w:cs="宋体"/>
                <w:color w:val="auto"/>
                <w:spacing w:val="-2"/>
                <w:sz w:val="21"/>
                <w:highlight w:val="none"/>
              </w:rPr>
            </w:pPr>
          </w:p>
        </w:tc>
      </w:tr>
      <w:tr w14:paraId="719BC560">
        <w:tblPrEx>
          <w:tblCellMar>
            <w:top w:w="0" w:type="dxa"/>
            <w:left w:w="0" w:type="dxa"/>
            <w:bottom w:w="0" w:type="dxa"/>
            <w:right w:w="0" w:type="dxa"/>
          </w:tblCellMar>
        </w:tblPrEx>
        <w:trPr>
          <w:trHeight w:val="741"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6E9E19D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28</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9CCA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030410001037</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373B1">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悬式瓷绝缘子</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04F3F">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名称：悬式瓷绝缘子</w:t>
            </w:r>
          </w:p>
          <w:p w14:paraId="331AD910">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2.</w:t>
            </w:r>
            <w:r>
              <w:rPr>
                <w:rFonts w:ascii="宋体" w:hAnsi="宋体" w:eastAsia="宋体" w:cs="宋体"/>
                <w:color w:val="auto"/>
                <w:spacing w:val="-2"/>
                <w:sz w:val="21"/>
                <w:highlight w:val="none"/>
              </w:rPr>
              <w:t>规格：U40C/140D</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966E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片</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20F5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36</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6DF9CA2">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FC7536">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31242FE4">
            <w:pPr>
              <w:spacing w:line="232" w:lineRule="auto"/>
              <w:jc w:val="right"/>
              <w:rPr>
                <w:rFonts w:ascii="宋体" w:hAnsi="宋体" w:eastAsia="宋体" w:cs="宋体"/>
                <w:color w:val="auto"/>
                <w:spacing w:val="-2"/>
                <w:sz w:val="21"/>
                <w:highlight w:val="none"/>
              </w:rPr>
            </w:pPr>
          </w:p>
        </w:tc>
      </w:tr>
      <w:tr w14:paraId="731BA36F">
        <w:tblPrEx>
          <w:tblCellMar>
            <w:top w:w="0" w:type="dxa"/>
            <w:left w:w="0" w:type="dxa"/>
            <w:bottom w:w="0" w:type="dxa"/>
            <w:right w:w="0" w:type="dxa"/>
          </w:tblCellMar>
        </w:tblPrEx>
        <w:trPr>
          <w:trHeight w:val="487"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289DB0B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29</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7B03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030413001015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FDEF6">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直角挂板</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65224">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联结金具-直角挂板</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Z-10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0B26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19C9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108</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675C1C4">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B59800">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354D4A5B">
            <w:pPr>
              <w:spacing w:line="232" w:lineRule="auto"/>
              <w:jc w:val="right"/>
              <w:rPr>
                <w:rFonts w:ascii="宋体" w:hAnsi="宋体" w:eastAsia="宋体" w:cs="宋体"/>
                <w:color w:val="auto"/>
                <w:spacing w:val="-2"/>
                <w:sz w:val="21"/>
                <w:highlight w:val="none"/>
              </w:rPr>
            </w:pPr>
          </w:p>
        </w:tc>
      </w:tr>
      <w:tr w14:paraId="1AD08DC2">
        <w:tblPrEx>
          <w:tblCellMar>
            <w:top w:w="0" w:type="dxa"/>
            <w:left w:w="0" w:type="dxa"/>
            <w:bottom w:w="0" w:type="dxa"/>
            <w:right w:w="0" w:type="dxa"/>
          </w:tblCellMar>
        </w:tblPrEx>
        <w:trPr>
          <w:trHeight w:val="487"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5878DC4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30</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2939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030413001017</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D2FE6">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球头挂环</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QP-7</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42ECE">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联结金具</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球头挂环</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QP-10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D80E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3372B">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108</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6436BB">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3B9A71">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34206514">
            <w:pPr>
              <w:spacing w:line="232" w:lineRule="auto"/>
              <w:jc w:val="right"/>
              <w:rPr>
                <w:rFonts w:ascii="宋体" w:hAnsi="宋体" w:eastAsia="宋体" w:cs="宋体"/>
                <w:color w:val="auto"/>
                <w:spacing w:val="-2"/>
                <w:sz w:val="21"/>
                <w:highlight w:val="none"/>
              </w:rPr>
            </w:pPr>
          </w:p>
        </w:tc>
      </w:tr>
      <w:tr w14:paraId="1DE484F5">
        <w:tblPrEx>
          <w:tblCellMar>
            <w:top w:w="0" w:type="dxa"/>
            <w:left w:w="0" w:type="dxa"/>
            <w:bottom w:w="0" w:type="dxa"/>
            <w:right w:w="0" w:type="dxa"/>
          </w:tblCellMar>
        </w:tblPrEx>
        <w:trPr>
          <w:trHeight w:val="487"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46C35E7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31</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1EF2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030413001016</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1ED66">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碗头挂板</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1863A">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联结金具</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碗头挂板</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W-10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E751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3F0A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108</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956A633">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7A63A2">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7C830862">
            <w:pPr>
              <w:spacing w:line="232" w:lineRule="auto"/>
              <w:jc w:val="right"/>
              <w:rPr>
                <w:rFonts w:ascii="宋体" w:hAnsi="宋体" w:eastAsia="宋体" w:cs="宋体"/>
                <w:color w:val="auto"/>
                <w:spacing w:val="-2"/>
                <w:sz w:val="21"/>
                <w:highlight w:val="none"/>
              </w:rPr>
            </w:pPr>
          </w:p>
        </w:tc>
      </w:tr>
      <w:tr w14:paraId="71718FFD">
        <w:tblPrEx>
          <w:tblCellMar>
            <w:top w:w="0" w:type="dxa"/>
            <w:left w:w="0" w:type="dxa"/>
            <w:bottom w:w="0" w:type="dxa"/>
            <w:right w:w="0" w:type="dxa"/>
          </w:tblCellMar>
        </w:tblPrEx>
        <w:trPr>
          <w:trHeight w:val="502"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7C197D4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32</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5A24B">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030413001014</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7AEC5">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U型挂环</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935CA">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联结金具-U型挂环</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U10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AAF3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8E89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108</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C62FBD1">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2C8FA7">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04A2F244">
            <w:pPr>
              <w:spacing w:line="232" w:lineRule="auto"/>
              <w:jc w:val="right"/>
              <w:rPr>
                <w:rFonts w:ascii="宋体" w:hAnsi="宋体" w:eastAsia="宋体" w:cs="宋体"/>
                <w:color w:val="auto"/>
                <w:spacing w:val="-2"/>
                <w:sz w:val="21"/>
                <w:highlight w:val="none"/>
              </w:rPr>
            </w:pPr>
          </w:p>
        </w:tc>
      </w:tr>
      <w:tr w14:paraId="42727B88">
        <w:tblPrEx>
          <w:tblCellMar>
            <w:top w:w="0" w:type="dxa"/>
            <w:left w:w="0" w:type="dxa"/>
            <w:bottom w:w="0" w:type="dxa"/>
            <w:right w:w="0" w:type="dxa"/>
          </w:tblCellMar>
        </w:tblPrEx>
        <w:trPr>
          <w:trHeight w:val="415"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10A06F3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33</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13D7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030413001060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09E2A">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耐张绝缘</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3DCD3">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NXJ-10kV-240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C599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付</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A3BC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108</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1BEDF4A">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530DA3">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2FB2F331">
            <w:pPr>
              <w:spacing w:line="232" w:lineRule="auto"/>
              <w:jc w:val="right"/>
              <w:rPr>
                <w:rFonts w:ascii="宋体" w:hAnsi="宋体" w:eastAsia="宋体" w:cs="宋体"/>
                <w:color w:val="auto"/>
                <w:spacing w:val="-2"/>
                <w:sz w:val="21"/>
                <w:highlight w:val="none"/>
              </w:rPr>
            </w:pPr>
          </w:p>
        </w:tc>
      </w:tr>
      <w:tr w14:paraId="47B416B4">
        <w:tblPrEx>
          <w:tblCellMar>
            <w:top w:w="0" w:type="dxa"/>
            <w:left w:w="0" w:type="dxa"/>
            <w:bottom w:w="0" w:type="dxa"/>
            <w:right w:w="0" w:type="dxa"/>
          </w:tblCellMar>
        </w:tblPrEx>
        <w:trPr>
          <w:trHeight w:val="488"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99DCAA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34</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066D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030413001061</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D4BA6">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直角挂板</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9AD65">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联结金具-直角挂板</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Z-7</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5197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5584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32</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EE7D08C">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693D0A">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7351D003">
            <w:pPr>
              <w:spacing w:line="232" w:lineRule="auto"/>
              <w:jc w:val="right"/>
              <w:rPr>
                <w:rFonts w:ascii="宋体" w:hAnsi="宋体" w:eastAsia="宋体" w:cs="宋体"/>
                <w:color w:val="auto"/>
                <w:spacing w:val="-2"/>
                <w:sz w:val="21"/>
                <w:highlight w:val="none"/>
              </w:rPr>
            </w:pPr>
          </w:p>
        </w:tc>
      </w:tr>
      <w:tr w14:paraId="2B976037">
        <w:tblPrEx>
          <w:tblCellMar>
            <w:top w:w="0" w:type="dxa"/>
            <w:left w:w="0" w:type="dxa"/>
            <w:bottom w:w="0" w:type="dxa"/>
            <w:right w:w="0" w:type="dxa"/>
          </w:tblCellMar>
        </w:tblPrEx>
        <w:trPr>
          <w:trHeight w:val="501"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4D1AAB7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35</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0E72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030413001062</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FEA2D">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球头挂环</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QP-7</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CCCBB">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联结金具</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球头挂环</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QP-7</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3D71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4109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32</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5F579D9">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BC9FAB">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3CF3115E">
            <w:pPr>
              <w:spacing w:line="232" w:lineRule="auto"/>
              <w:jc w:val="right"/>
              <w:rPr>
                <w:rFonts w:ascii="宋体" w:hAnsi="宋体" w:eastAsia="宋体" w:cs="宋体"/>
                <w:color w:val="auto"/>
                <w:spacing w:val="-2"/>
                <w:sz w:val="21"/>
                <w:highlight w:val="none"/>
              </w:rPr>
            </w:pPr>
          </w:p>
        </w:tc>
      </w:tr>
      <w:tr w14:paraId="41A5545F">
        <w:tblPrEx>
          <w:tblCellMar>
            <w:top w:w="0" w:type="dxa"/>
            <w:left w:w="0" w:type="dxa"/>
            <w:bottom w:w="0" w:type="dxa"/>
            <w:right w:w="0" w:type="dxa"/>
          </w:tblCellMar>
        </w:tblPrEx>
        <w:trPr>
          <w:trHeight w:val="617"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2C6DB17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36</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AD88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030413001063</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6ACE1">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碗头挂板</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BB63E">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联结金具-碗头挂板</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W-7BW-0770</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=W-7A)</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D1F7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5902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32</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8C8D673">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C2C1A8">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5BC143F4">
            <w:pPr>
              <w:spacing w:line="232" w:lineRule="auto"/>
              <w:jc w:val="right"/>
              <w:rPr>
                <w:rFonts w:ascii="宋体" w:hAnsi="宋体" w:eastAsia="宋体" w:cs="宋体"/>
                <w:color w:val="auto"/>
                <w:spacing w:val="-2"/>
                <w:sz w:val="21"/>
                <w:highlight w:val="none"/>
              </w:rPr>
            </w:pPr>
          </w:p>
        </w:tc>
      </w:tr>
      <w:tr w14:paraId="50E451B5">
        <w:tblPrEx>
          <w:tblCellMar>
            <w:top w:w="0" w:type="dxa"/>
            <w:left w:w="0" w:type="dxa"/>
            <w:bottom w:w="0" w:type="dxa"/>
            <w:right w:w="0" w:type="dxa"/>
          </w:tblCellMar>
        </w:tblPrEx>
        <w:trPr>
          <w:trHeight w:val="731"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4A6E218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37</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00EB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030410001038</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2CA7E">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耐张线夹</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E4D0C">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名称：耐张线夹</w:t>
            </w:r>
          </w:p>
          <w:p w14:paraId="5ED27437">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2.</w:t>
            </w:r>
            <w:r>
              <w:rPr>
                <w:rFonts w:ascii="宋体" w:hAnsi="宋体" w:eastAsia="宋体" w:cs="宋体"/>
                <w:color w:val="auto"/>
                <w:spacing w:val="-2"/>
                <w:sz w:val="21"/>
                <w:highlight w:val="none"/>
              </w:rPr>
              <w:t>规格：NXJ-1-120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77E4B">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CCDA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32</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1353BCA">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C945A4">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1BE96933">
            <w:pPr>
              <w:spacing w:line="232" w:lineRule="auto"/>
              <w:jc w:val="right"/>
              <w:rPr>
                <w:rFonts w:ascii="宋体" w:hAnsi="宋体" w:eastAsia="宋体" w:cs="宋体"/>
                <w:color w:val="auto"/>
                <w:spacing w:val="-2"/>
                <w:sz w:val="21"/>
                <w:highlight w:val="none"/>
              </w:rPr>
            </w:pPr>
          </w:p>
        </w:tc>
      </w:tr>
      <w:tr w14:paraId="6C54156B">
        <w:tblPrEx>
          <w:tblCellMar>
            <w:top w:w="0" w:type="dxa"/>
            <w:left w:w="0" w:type="dxa"/>
            <w:bottom w:w="0" w:type="dxa"/>
            <w:right w:w="0" w:type="dxa"/>
          </w:tblCellMar>
        </w:tblPrEx>
        <w:trPr>
          <w:trHeight w:val="641"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78750A4B">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38</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EF61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030410001015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F083C">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挂线连铁</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A749F">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名称：挂线连铁</w:t>
            </w:r>
          </w:p>
          <w:p w14:paraId="725D65D0">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2.</w:t>
            </w:r>
            <w:r>
              <w:rPr>
                <w:rFonts w:ascii="宋体" w:hAnsi="宋体" w:eastAsia="宋体" w:cs="宋体"/>
                <w:color w:val="auto"/>
                <w:spacing w:val="-2"/>
                <w:sz w:val="21"/>
                <w:highlight w:val="none"/>
              </w:rPr>
              <w:t>规格：LT6-580G</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91B2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块</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68E4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14</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9D8AE45">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1DE696">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703C1328">
            <w:pPr>
              <w:spacing w:line="232" w:lineRule="auto"/>
              <w:jc w:val="right"/>
              <w:rPr>
                <w:rFonts w:ascii="宋体" w:hAnsi="宋体" w:eastAsia="宋体" w:cs="宋体"/>
                <w:color w:val="auto"/>
                <w:spacing w:val="-2"/>
                <w:sz w:val="21"/>
                <w:highlight w:val="none"/>
              </w:rPr>
            </w:pPr>
          </w:p>
        </w:tc>
      </w:tr>
      <w:tr w14:paraId="0400E178">
        <w:tblPrEx>
          <w:tblCellMar>
            <w:top w:w="0" w:type="dxa"/>
            <w:left w:w="0" w:type="dxa"/>
            <w:bottom w:w="0" w:type="dxa"/>
            <w:right w:w="0" w:type="dxa"/>
          </w:tblCellMar>
        </w:tblPrEx>
        <w:trPr>
          <w:trHeight w:val="336"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717EC3A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39</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2BA4B">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030413001068</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3A496">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 xml:space="preserve">抱箍   </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BBF59">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抱箍   BG6-220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4D9C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524F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CCE3C64">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D0E4C9">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0F1A81F4">
            <w:pPr>
              <w:spacing w:line="232" w:lineRule="auto"/>
              <w:jc w:val="right"/>
              <w:rPr>
                <w:rFonts w:ascii="宋体" w:hAnsi="宋体" w:eastAsia="宋体" w:cs="宋体"/>
                <w:color w:val="auto"/>
                <w:spacing w:val="-2"/>
                <w:sz w:val="21"/>
                <w:highlight w:val="none"/>
              </w:rPr>
            </w:pPr>
          </w:p>
        </w:tc>
      </w:tr>
      <w:tr w14:paraId="216DE485">
        <w:tblPrEx>
          <w:tblCellMar>
            <w:top w:w="0" w:type="dxa"/>
            <w:left w:w="0" w:type="dxa"/>
            <w:bottom w:w="0" w:type="dxa"/>
            <w:right w:w="0" w:type="dxa"/>
          </w:tblCellMar>
        </w:tblPrEx>
        <w:trPr>
          <w:trHeight w:val="470"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18B1C03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40</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3BA9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030413001057</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8EF24">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 xml:space="preserve">抱箍   </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54219">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抱箍   BG6-240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99E0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98C0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20</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528DC78">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F29A60">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5089A8EC">
            <w:pPr>
              <w:spacing w:line="232" w:lineRule="auto"/>
              <w:jc w:val="right"/>
              <w:rPr>
                <w:rFonts w:ascii="宋体" w:hAnsi="宋体" w:eastAsia="宋体" w:cs="宋体"/>
                <w:color w:val="auto"/>
                <w:spacing w:val="-2"/>
                <w:sz w:val="21"/>
                <w:highlight w:val="none"/>
              </w:rPr>
            </w:pPr>
          </w:p>
        </w:tc>
      </w:tr>
      <w:tr w14:paraId="6BDB8024">
        <w:tblPrEx>
          <w:tblCellMar>
            <w:top w:w="0" w:type="dxa"/>
            <w:left w:w="0" w:type="dxa"/>
            <w:bottom w:w="0" w:type="dxa"/>
            <w:right w:w="0" w:type="dxa"/>
          </w:tblCellMar>
        </w:tblPrEx>
        <w:trPr>
          <w:trHeight w:val="330"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D29EBD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41</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52D6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030413001064</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3C333">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 xml:space="preserve">抱箍   </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0CF2B">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抱箍   BG6-260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EFDE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E173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33</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849795A">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346C1A">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141B663C">
            <w:pPr>
              <w:spacing w:line="232" w:lineRule="auto"/>
              <w:jc w:val="right"/>
              <w:rPr>
                <w:rFonts w:ascii="宋体" w:hAnsi="宋体" w:eastAsia="宋体" w:cs="宋体"/>
                <w:color w:val="auto"/>
                <w:spacing w:val="-2"/>
                <w:sz w:val="21"/>
                <w:highlight w:val="none"/>
              </w:rPr>
            </w:pPr>
          </w:p>
        </w:tc>
      </w:tr>
      <w:tr w14:paraId="7609B02C">
        <w:tblPrEx>
          <w:tblCellMar>
            <w:top w:w="0" w:type="dxa"/>
            <w:left w:w="0" w:type="dxa"/>
            <w:bottom w:w="0" w:type="dxa"/>
            <w:right w:w="0" w:type="dxa"/>
          </w:tblCellMar>
        </w:tblPrEx>
        <w:trPr>
          <w:trHeight w:val="343"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4888421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42</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915D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030413001065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10569">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 xml:space="preserve">抱箍   </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86373">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抱箍   BG6-280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BE9E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F917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30</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361E2DE">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F2ABE7">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149F4F7E">
            <w:pPr>
              <w:spacing w:line="232" w:lineRule="auto"/>
              <w:jc w:val="right"/>
              <w:rPr>
                <w:rFonts w:ascii="宋体" w:hAnsi="宋体" w:eastAsia="宋体" w:cs="宋体"/>
                <w:color w:val="auto"/>
                <w:spacing w:val="-2"/>
                <w:sz w:val="21"/>
                <w:highlight w:val="none"/>
              </w:rPr>
            </w:pPr>
          </w:p>
        </w:tc>
      </w:tr>
      <w:tr w14:paraId="5976D9EB">
        <w:tblPrEx>
          <w:tblCellMar>
            <w:top w:w="0" w:type="dxa"/>
            <w:left w:w="0" w:type="dxa"/>
            <w:bottom w:w="0" w:type="dxa"/>
            <w:right w:w="0" w:type="dxa"/>
          </w:tblCellMar>
        </w:tblPrEx>
        <w:trPr>
          <w:trHeight w:val="344"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4FD3F42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43</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E0B0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030413001056</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31AC4">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 xml:space="preserve">抱箍   </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56897">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抱箍   BG6-300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2FA5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0EFE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7</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2A708F9">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D5B734">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131D6A8E">
            <w:pPr>
              <w:spacing w:line="232" w:lineRule="auto"/>
              <w:jc w:val="right"/>
              <w:rPr>
                <w:rFonts w:ascii="宋体" w:hAnsi="宋体" w:eastAsia="宋体" w:cs="宋体"/>
                <w:color w:val="auto"/>
                <w:spacing w:val="-2"/>
                <w:sz w:val="21"/>
                <w:highlight w:val="none"/>
              </w:rPr>
            </w:pPr>
          </w:p>
        </w:tc>
      </w:tr>
      <w:tr w14:paraId="7925CBD3">
        <w:tblPrEx>
          <w:tblCellMar>
            <w:top w:w="0" w:type="dxa"/>
            <w:left w:w="0" w:type="dxa"/>
            <w:bottom w:w="0" w:type="dxa"/>
            <w:right w:w="0" w:type="dxa"/>
          </w:tblCellMar>
        </w:tblPrEx>
        <w:trPr>
          <w:trHeight w:val="330"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CDBC3CB">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44</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9887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030413001045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5201E">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 xml:space="preserve">抱箍   </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4C2FF">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抱箍   BG6-320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125D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CEFF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24E383B">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AE691A">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2EBD041F">
            <w:pPr>
              <w:spacing w:line="232" w:lineRule="auto"/>
              <w:jc w:val="right"/>
              <w:rPr>
                <w:rFonts w:ascii="宋体" w:hAnsi="宋体" w:eastAsia="宋体" w:cs="宋体"/>
                <w:color w:val="auto"/>
                <w:spacing w:val="-2"/>
                <w:sz w:val="21"/>
                <w:highlight w:val="none"/>
              </w:rPr>
            </w:pPr>
          </w:p>
        </w:tc>
      </w:tr>
      <w:tr w14:paraId="131910D3">
        <w:tblPrEx>
          <w:tblCellMar>
            <w:top w:w="0" w:type="dxa"/>
            <w:left w:w="0" w:type="dxa"/>
            <w:bottom w:w="0" w:type="dxa"/>
            <w:right w:w="0" w:type="dxa"/>
          </w:tblCellMar>
        </w:tblPrEx>
        <w:trPr>
          <w:trHeight w:val="344"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13B2D47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45</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3ABB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030413001069</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64D5E">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 xml:space="preserve">抱箍   </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9D9AA">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抱箍   BG6-500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5D38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EE49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10</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8F35651">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987CA1">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5024D831">
            <w:pPr>
              <w:spacing w:line="232" w:lineRule="auto"/>
              <w:jc w:val="right"/>
              <w:rPr>
                <w:rFonts w:ascii="宋体" w:hAnsi="宋体" w:eastAsia="宋体" w:cs="宋体"/>
                <w:color w:val="auto"/>
                <w:spacing w:val="-2"/>
                <w:sz w:val="21"/>
                <w:highlight w:val="none"/>
              </w:rPr>
            </w:pPr>
          </w:p>
        </w:tc>
      </w:tr>
      <w:tr w14:paraId="58F1514F">
        <w:tblPrEx>
          <w:tblCellMar>
            <w:top w:w="0" w:type="dxa"/>
            <w:left w:w="0" w:type="dxa"/>
            <w:bottom w:w="0" w:type="dxa"/>
            <w:right w:w="0" w:type="dxa"/>
          </w:tblCellMar>
        </w:tblPrEx>
        <w:trPr>
          <w:trHeight w:val="487"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69DF60F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46</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11ED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030413001070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27758">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 xml:space="preserve">横担抱箍    </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E32F3">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横担抱箍    HBG6-220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F38D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CFFF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10</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CD5196">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6C3875">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58E58DAD">
            <w:pPr>
              <w:spacing w:line="232" w:lineRule="auto"/>
              <w:jc w:val="right"/>
              <w:rPr>
                <w:rFonts w:ascii="宋体" w:hAnsi="宋体" w:eastAsia="宋体" w:cs="宋体"/>
                <w:color w:val="auto"/>
                <w:spacing w:val="-2"/>
                <w:sz w:val="21"/>
                <w:highlight w:val="none"/>
              </w:rPr>
            </w:pPr>
          </w:p>
        </w:tc>
      </w:tr>
      <w:tr w14:paraId="7A2FD963">
        <w:tblPrEx>
          <w:tblCellMar>
            <w:top w:w="0" w:type="dxa"/>
            <w:left w:w="0" w:type="dxa"/>
            <w:bottom w:w="0" w:type="dxa"/>
            <w:right w:w="0" w:type="dxa"/>
          </w:tblCellMar>
        </w:tblPrEx>
        <w:trPr>
          <w:trHeight w:val="487"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38A7266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47</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7A76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030413001041</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C3D31">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 xml:space="preserve">横担抱箍    </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AA760">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横担抱箍    HBG6-240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1E63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8667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20</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6F1FDA9">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9BC305">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36E5A4E0">
            <w:pPr>
              <w:spacing w:line="232" w:lineRule="auto"/>
              <w:jc w:val="right"/>
              <w:rPr>
                <w:rFonts w:ascii="宋体" w:hAnsi="宋体" w:eastAsia="宋体" w:cs="宋体"/>
                <w:color w:val="auto"/>
                <w:spacing w:val="-2"/>
                <w:sz w:val="21"/>
                <w:highlight w:val="none"/>
              </w:rPr>
            </w:pPr>
          </w:p>
        </w:tc>
      </w:tr>
      <w:tr w14:paraId="7F2A4EEC">
        <w:tblPrEx>
          <w:tblCellMar>
            <w:top w:w="0" w:type="dxa"/>
            <w:left w:w="0" w:type="dxa"/>
            <w:bottom w:w="0" w:type="dxa"/>
            <w:right w:w="0" w:type="dxa"/>
          </w:tblCellMar>
        </w:tblPrEx>
        <w:trPr>
          <w:trHeight w:val="502"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24ECF2A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48</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06EC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030413001040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32073">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 xml:space="preserve">横担抱箍   </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63AA3">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横担抱箍    HBG6-260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09E8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28F8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13</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E89B7CC">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273D7D">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5FC60C32">
            <w:pPr>
              <w:spacing w:line="232" w:lineRule="auto"/>
              <w:jc w:val="right"/>
              <w:rPr>
                <w:rFonts w:ascii="宋体" w:hAnsi="宋体" w:eastAsia="宋体" w:cs="宋体"/>
                <w:color w:val="auto"/>
                <w:spacing w:val="-2"/>
                <w:sz w:val="21"/>
                <w:highlight w:val="none"/>
              </w:rPr>
            </w:pPr>
          </w:p>
        </w:tc>
      </w:tr>
      <w:tr w14:paraId="0615F570">
        <w:tblPrEx>
          <w:tblCellMar>
            <w:top w:w="0" w:type="dxa"/>
            <w:left w:w="0" w:type="dxa"/>
            <w:bottom w:w="0" w:type="dxa"/>
            <w:right w:w="0" w:type="dxa"/>
          </w:tblCellMar>
        </w:tblPrEx>
        <w:trPr>
          <w:trHeight w:val="587" w:hRule="exact"/>
        </w:trPr>
        <w:tc>
          <w:tcPr>
            <w:tcW w:w="8110" w:type="dxa"/>
            <w:gridSpan w:val="9"/>
            <w:tcBorders>
              <w:top w:val="single" w:color="000000" w:sz="4" w:space="0"/>
              <w:left w:val="single" w:color="000000" w:sz="10" w:space="0"/>
              <w:bottom w:val="single" w:color="auto" w:sz="4" w:space="0"/>
              <w:right w:val="single" w:color="000000" w:sz="4" w:space="0"/>
            </w:tcBorders>
            <w:shd w:val="clear" w:color="auto" w:fill="auto"/>
            <w:vAlign w:val="center"/>
          </w:tcPr>
          <w:p w14:paraId="280F07B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本页小计</w:t>
            </w:r>
          </w:p>
        </w:tc>
        <w:tc>
          <w:tcPr>
            <w:tcW w:w="1009" w:type="dxa"/>
            <w:gridSpan w:val="2"/>
            <w:tcBorders>
              <w:top w:val="single" w:color="000000" w:sz="4" w:space="0"/>
              <w:left w:val="single" w:color="000000" w:sz="4" w:space="0"/>
              <w:bottom w:val="single" w:color="auto" w:sz="4" w:space="0"/>
              <w:right w:val="single" w:color="000000" w:sz="4" w:space="0"/>
            </w:tcBorders>
            <w:shd w:val="clear" w:color="auto" w:fill="auto"/>
          </w:tcPr>
          <w:p w14:paraId="5788F05F">
            <w:pPr>
              <w:spacing w:line="232" w:lineRule="auto"/>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auto" w:sz="4" w:space="0"/>
              <w:right w:val="single" w:color="000000" w:sz="10" w:space="0"/>
            </w:tcBorders>
            <w:shd w:val="clear" w:color="auto" w:fill="auto"/>
          </w:tcPr>
          <w:p w14:paraId="5189312E">
            <w:pPr>
              <w:spacing w:line="232" w:lineRule="auto"/>
              <w:rPr>
                <w:rFonts w:ascii="宋体" w:hAnsi="宋体" w:eastAsia="宋体" w:cs="宋体"/>
                <w:color w:val="auto"/>
                <w:spacing w:val="-2"/>
                <w:sz w:val="21"/>
                <w:highlight w:val="none"/>
              </w:rPr>
            </w:pPr>
          </w:p>
        </w:tc>
      </w:tr>
      <w:tr w14:paraId="49DEFC32">
        <w:tblPrEx>
          <w:tblCellMar>
            <w:top w:w="0" w:type="dxa"/>
            <w:left w:w="0" w:type="dxa"/>
            <w:bottom w:w="0" w:type="dxa"/>
            <w:right w:w="0" w:type="dxa"/>
          </w:tblCellMar>
        </w:tblPrEx>
        <w:trPr>
          <w:trHeight w:val="547" w:hRule="exact"/>
        </w:trPr>
        <w:tc>
          <w:tcPr>
            <w:tcW w:w="10114" w:type="dxa"/>
            <w:gridSpan w:val="12"/>
            <w:tcBorders>
              <w:top w:val="single" w:color="auto" w:sz="4" w:space="0"/>
              <w:left w:val="single" w:color="auto" w:sz="4" w:space="0"/>
              <w:bottom w:val="single" w:color="auto" w:sz="4" w:space="0"/>
              <w:right w:val="single" w:color="auto" w:sz="4" w:space="0"/>
            </w:tcBorders>
            <w:shd w:val="clear" w:color="auto" w:fill="auto"/>
            <w:vAlign w:val="center"/>
          </w:tcPr>
          <w:p w14:paraId="3DD06E5D">
            <w:pPr>
              <w:spacing w:line="232" w:lineRule="auto"/>
              <w:jc w:val="center"/>
              <w:rPr>
                <w:rFonts w:hint="eastAsia" w:ascii="宋体" w:hAnsi="宋体" w:eastAsia="宋体" w:cs="宋体"/>
                <w:b/>
                <w:color w:val="auto"/>
                <w:spacing w:val="-2"/>
                <w:sz w:val="32"/>
                <w:highlight w:val="none"/>
                <w:lang w:eastAsia="zh-CN"/>
              </w:rPr>
            </w:pPr>
            <w:r>
              <w:rPr>
                <w:rFonts w:hint="eastAsia" w:ascii="宋体" w:hAnsi="宋体" w:eastAsia="宋体" w:cs="宋体"/>
                <w:b/>
                <w:color w:val="auto"/>
                <w:spacing w:val="-2"/>
                <w:sz w:val="32"/>
                <w:highlight w:val="none"/>
                <w:lang w:eastAsia="zh-CN"/>
              </w:rPr>
              <w:t>全费用工程量清单与计价表</w:t>
            </w:r>
          </w:p>
        </w:tc>
      </w:tr>
      <w:tr w14:paraId="412844C7">
        <w:tblPrEx>
          <w:tblCellMar>
            <w:top w:w="0" w:type="dxa"/>
            <w:left w:w="0" w:type="dxa"/>
            <w:bottom w:w="0" w:type="dxa"/>
            <w:right w:w="0" w:type="dxa"/>
          </w:tblCellMar>
        </w:tblPrEx>
        <w:trPr>
          <w:trHeight w:val="344" w:hRule="exact"/>
        </w:trPr>
        <w:tc>
          <w:tcPr>
            <w:tcW w:w="5508"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1DA8BB95">
            <w:pPr>
              <w:spacing w:line="232" w:lineRule="auto"/>
              <w:rPr>
                <w:rFonts w:ascii="黑体" w:hAnsi="黑体" w:eastAsia="黑体" w:cs="黑体"/>
                <w:color w:val="auto"/>
                <w:spacing w:val="-2"/>
                <w:sz w:val="21"/>
                <w:highlight w:val="none"/>
              </w:rPr>
            </w:pPr>
            <w:r>
              <w:rPr>
                <w:rFonts w:ascii="黑体" w:hAnsi="黑体" w:eastAsia="黑体" w:cs="黑体"/>
                <w:color w:val="auto"/>
                <w:spacing w:val="-2"/>
                <w:sz w:val="21"/>
                <w:highlight w:val="none"/>
              </w:rPr>
              <w:t>工程名称：安装</w:t>
            </w:r>
          </w:p>
        </w:tc>
        <w:tc>
          <w:tcPr>
            <w:tcW w:w="284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598EF356">
            <w:pPr>
              <w:spacing w:line="232" w:lineRule="auto"/>
              <w:rPr>
                <w:rFonts w:ascii="黑体" w:hAnsi="黑体" w:eastAsia="黑体" w:cs="黑体"/>
                <w:color w:val="auto"/>
                <w:spacing w:val="-2"/>
                <w:sz w:val="21"/>
                <w:highlight w:val="none"/>
              </w:rPr>
            </w:pPr>
            <w:r>
              <w:rPr>
                <w:rFonts w:ascii="黑体" w:hAnsi="黑体" w:eastAsia="黑体" w:cs="黑体"/>
                <w:color w:val="auto"/>
                <w:spacing w:val="-2"/>
                <w:sz w:val="21"/>
                <w:highlight w:val="none"/>
              </w:rPr>
              <w:t>标段：</w:t>
            </w:r>
          </w:p>
        </w:tc>
        <w:tc>
          <w:tcPr>
            <w:tcW w:w="176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B1F178E">
            <w:pPr>
              <w:spacing w:line="232" w:lineRule="auto"/>
              <w:jc w:val="right"/>
              <w:rPr>
                <w:rFonts w:ascii="黑体" w:hAnsi="黑体" w:eastAsia="黑体" w:cs="黑体"/>
                <w:color w:val="auto"/>
                <w:spacing w:val="-2"/>
                <w:sz w:val="21"/>
                <w:highlight w:val="none"/>
              </w:rPr>
            </w:pPr>
            <w:r>
              <w:rPr>
                <w:rFonts w:ascii="黑体" w:hAnsi="黑体" w:eastAsia="黑体" w:cs="黑体"/>
                <w:color w:val="auto"/>
                <w:spacing w:val="-2"/>
                <w:sz w:val="21"/>
                <w:highlight w:val="none"/>
              </w:rPr>
              <w:t>第4页 共5页</w:t>
            </w:r>
          </w:p>
        </w:tc>
      </w:tr>
      <w:tr w14:paraId="1DD0B175">
        <w:tblPrEx>
          <w:tblCellMar>
            <w:top w:w="0" w:type="dxa"/>
            <w:left w:w="0" w:type="dxa"/>
            <w:bottom w:w="0" w:type="dxa"/>
            <w:right w:w="0" w:type="dxa"/>
          </w:tblCellMar>
        </w:tblPrEx>
        <w:trPr>
          <w:trHeight w:val="301" w:hRule="exact"/>
        </w:trPr>
        <w:tc>
          <w:tcPr>
            <w:tcW w:w="470" w:type="dxa"/>
            <w:vMerge w:val="restart"/>
            <w:tcBorders>
              <w:top w:val="single" w:color="auto" w:sz="4" w:space="0"/>
              <w:left w:val="single" w:color="000000" w:sz="10" w:space="0"/>
              <w:bottom w:val="single" w:color="auto" w:sz="4" w:space="0"/>
              <w:right w:val="single" w:color="000000" w:sz="4" w:space="0"/>
            </w:tcBorders>
            <w:shd w:val="clear" w:color="auto" w:fill="FFFFFF"/>
            <w:vAlign w:val="center"/>
          </w:tcPr>
          <w:p w14:paraId="677CE00D">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序号</w:t>
            </w:r>
          </w:p>
        </w:tc>
        <w:tc>
          <w:tcPr>
            <w:tcW w:w="1341"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5D5338A9">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项目编码</w:t>
            </w:r>
          </w:p>
        </w:tc>
        <w:tc>
          <w:tcPr>
            <w:tcW w:w="1082"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3C3F7200">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项目名称</w:t>
            </w:r>
          </w:p>
        </w:tc>
        <w:tc>
          <w:tcPr>
            <w:tcW w:w="2615"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32A7AF51">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项目特征描述</w:t>
            </w:r>
          </w:p>
        </w:tc>
        <w:tc>
          <w:tcPr>
            <w:tcW w:w="823"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79733B7B">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计量</w:t>
            </w:r>
          </w:p>
          <w:p w14:paraId="0AE37D2E">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单位</w:t>
            </w:r>
          </w:p>
        </w:tc>
        <w:tc>
          <w:tcPr>
            <w:tcW w:w="837"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0504B744">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工程量</w:t>
            </w:r>
          </w:p>
        </w:tc>
        <w:tc>
          <w:tcPr>
            <w:tcW w:w="2946" w:type="dxa"/>
            <w:gridSpan w:val="6"/>
            <w:tcBorders>
              <w:top w:val="single" w:color="auto" w:sz="4" w:space="0"/>
              <w:left w:val="single" w:color="000000" w:sz="4" w:space="0"/>
              <w:bottom w:val="single" w:color="auto" w:sz="4" w:space="0"/>
              <w:right w:val="single" w:color="000000" w:sz="10" w:space="0"/>
            </w:tcBorders>
            <w:shd w:val="clear" w:color="auto" w:fill="FFFFFF"/>
            <w:vAlign w:val="center"/>
          </w:tcPr>
          <w:p w14:paraId="52701287">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金额（元）</w:t>
            </w:r>
          </w:p>
        </w:tc>
      </w:tr>
      <w:tr w14:paraId="55FE7EDF">
        <w:tblPrEx>
          <w:tblCellMar>
            <w:top w:w="0" w:type="dxa"/>
            <w:left w:w="0" w:type="dxa"/>
            <w:bottom w:w="0" w:type="dxa"/>
            <w:right w:w="0" w:type="dxa"/>
          </w:tblCellMar>
        </w:tblPrEx>
        <w:trPr>
          <w:trHeight w:val="301" w:hRule="exact"/>
        </w:trPr>
        <w:tc>
          <w:tcPr>
            <w:tcW w:w="470" w:type="dxa"/>
            <w:vMerge w:val="continue"/>
            <w:tcBorders>
              <w:top w:val="single" w:color="auto" w:sz="4" w:space="0"/>
              <w:left w:val="single" w:color="000000" w:sz="10" w:space="0"/>
              <w:bottom w:val="single" w:color="auto" w:sz="4" w:space="0"/>
              <w:right w:val="single" w:color="000000" w:sz="4" w:space="0"/>
            </w:tcBorders>
            <w:shd w:val="clear" w:color="auto" w:fill="FFFFFF"/>
            <w:vAlign w:val="center"/>
          </w:tcPr>
          <w:p w14:paraId="24A9112A">
            <w:pPr>
              <w:rPr>
                <w:color w:val="auto"/>
                <w:highlight w:val="none"/>
              </w:rPr>
            </w:pPr>
          </w:p>
        </w:tc>
        <w:tc>
          <w:tcPr>
            <w:tcW w:w="1341"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32A8430E">
            <w:pPr>
              <w:rPr>
                <w:color w:val="auto"/>
                <w:highlight w:val="none"/>
              </w:rPr>
            </w:pPr>
          </w:p>
        </w:tc>
        <w:tc>
          <w:tcPr>
            <w:tcW w:w="1082"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3A0CAB42">
            <w:pPr>
              <w:rPr>
                <w:color w:val="auto"/>
                <w:highlight w:val="none"/>
              </w:rPr>
            </w:pPr>
          </w:p>
        </w:tc>
        <w:tc>
          <w:tcPr>
            <w:tcW w:w="2615"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3ABE4C30">
            <w:pPr>
              <w:rPr>
                <w:color w:val="auto"/>
                <w:highlight w:val="none"/>
              </w:rPr>
            </w:pPr>
          </w:p>
        </w:tc>
        <w:tc>
          <w:tcPr>
            <w:tcW w:w="823"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16C0A11B">
            <w:pPr>
              <w:rPr>
                <w:color w:val="auto"/>
                <w:highlight w:val="none"/>
              </w:rPr>
            </w:pPr>
          </w:p>
        </w:tc>
        <w:tc>
          <w:tcPr>
            <w:tcW w:w="837"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0F7B684E">
            <w:pPr>
              <w:rPr>
                <w:color w:val="auto"/>
                <w:highlight w:val="none"/>
              </w:rPr>
            </w:pPr>
          </w:p>
        </w:tc>
        <w:tc>
          <w:tcPr>
            <w:tcW w:w="942" w:type="dxa"/>
            <w:gridSpan w:val="3"/>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2B95A2B9">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综合单价</w:t>
            </w:r>
          </w:p>
        </w:tc>
        <w:tc>
          <w:tcPr>
            <w:tcW w:w="1009" w:type="dxa"/>
            <w:gridSpan w:val="2"/>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5A2E8100">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合价</w:t>
            </w:r>
          </w:p>
        </w:tc>
        <w:tc>
          <w:tcPr>
            <w:tcW w:w="995" w:type="dxa"/>
            <w:tcBorders>
              <w:top w:val="single" w:color="auto" w:sz="4" w:space="0"/>
              <w:left w:val="single" w:color="000000" w:sz="4" w:space="0"/>
              <w:bottom w:val="single" w:color="auto" w:sz="4" w:space="0"/>
              <w:right w:val="single" w:color="000000" w:sz="10" w:space="0"/>
            </w:tcBorders>
            <w:shd w:val="clear" w:color="auto" w:fill="FFFFFF"/>
            <w:vAlign w:val="center"/>
          </w:tcPr>
          <w:p w14:paraId="6E86801C">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其中</w:t>
            </w:r>
          </w:p>
        </w:tc>
      </w:tr>
      <w:tr w14:paraId="2F4D2806">
        <w:tblPrEx>
          <w:tblCellMar>
            <w:top w:w="0" w:type="dxa"/>
            <w:left w:w="0" w:type="dxa"/>
            <w:bottom w:w="0" w:type="dxa"/>
            <w:right w:w="0" w:type="dxa"/>
          </w:tblCellMar>
        </w:tblPrEx>
        <w:trPr>
          <w:trHeight w:val="286" w:hRule="exact"/>
        </w:trPr>
        <w:tc>
          <w:tcPr>
            <w:tcW w:w="470" w:type="dxa"/>
            <w:vMerge w:val="continue"/>
            <w:tcBorders>
              <w:top w:val="single" w:color="auto" w:sz="4" w:space="0"/>
              <w:left w:val="single" w:color="000000" w:sz="10" w:space="0"/>
              <w:bottom w:val="single" w:color="000000" w:sz="4" w:space="0"/>
              <w:right w:val="single" w:color="000000" w:sz="4" w:space="0"/>
            </w:tcBorders>
            <w:shd w:val="clear" w:color="auto" w:fill="FFFFFF"/>
            <w:vAlign w:val="center"/>
          </w:tcPr>
          <w:p w14:paraId="4EC46704">
            <w:pPr>
              <w:rPr>
                <w:color w:val="auto"/>
                <w:highlight w:val="none"/>
              </w:rPr>
            </w:pPr>
          </w:p>
        </w:tc>
        <w:tc>
          <w:tcPr>
            <w:tcW w:w="1341"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5440511F">
            <w:pPr>
              <w:rPr>
                <w:color w:val="auto"/>
                <w:highlight w:val="none"/>
              </w:rPr>
            </w:pPr>
          </w:p>
        </w:tc>
        <w:tc>
          <w:tcPr>
            <w:tcW w:w="1082"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730DFD0F">
            <w:pPr>
              <w:rPr>
                <w:color w:val="auto"/>
                <w:highlight w:val="none"/>
              </w:rPr>
            </w:pPr>
          </w:p>
        </w:tc>
        <w:tc>
          <w:tcPr>
            <w:tcW w:w="2615"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252388A6">
            <w:pPr>
              <w:rPr>
                <w:color w:val="auto"/>
                <w:highlight w:val="none"/>
              </w:rPr>
            </w:pPr>
          </w:p>
        </w:tc>
        <w:tc>
          <w:tcPr>
            <w:tcW w:w="823"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3262FEF0">
            <w:pPr>
              <w:rPr>
                <w:color w:val="auto"/>
                <w:highlight w:val="none"/>
              </w:rPr>
            </w:pPr>
          </w:p>
        </w:tc>
        <w:tc>
          <w:tcPr>
            <w:tcW w:w="837"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547799AD">
            <w:pPr>
              <w:rPr>
                <w:color w:val="auto"/>
                <w:highlight w:val="none"/>
              </w:rPr>
            </w:pPr>
          </w:p>
        </w:tc>
        <w:tc>
          <w:tcPr>
            <w:tcW w:w="942" w:type="dxa"/>
            <w:gridSpan w:val="3"/>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7F3D9416">
            <w:pPr>
              <w:rPr>
                <w:color w:val="auto"/>
                <w:highlight w:val="none"/>
              </w:rPr>
            </w:pPr>
          </w:p>
        </w:tc>
        <w:tc>
          <w:tcPr>
            <w:tcW w:w="1009" w:type="dxa"/>
            <w:gridSpan w:val="2"/>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4C82F859">
            <w:pPr>
              <w:rPr>
                <w:color w:val="auto"/>
                <w:highlight w:val="none"/>
              </w:rPr>
            </w:pPr>
          </w:p>
        </w:tc>
        <w:tc>
          <w:tcPr>
            <w:tcW w:w="995" w:type="dxa"/>
            <w:tcBorders>
              <w:top w:val="single" w:color="auto" w:sz="4" w:space="0"/>
              <w:left w:val="single" w:color="000000" w:sz="4" w:space="0"/>
              <w:bottom w:val="single" w:color="000000" w:sz="4" w:space="0"/>
              <w:right w:val="single" w:color="000000" w:sz="10" w:space="0"/>
            </w:tcBorders>
            <w:shd w:val="clear" w:color="auto" w:fill="FFFFFF"/>
            <w:vAlign w:val="center"/>
          </w:tcPr>
          <w:p w14:paraId="55E9DE1F">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暂估价</w:t>
            </w:r>
          </w:p>
        </w:tc>
      </w:tr>
      <w:tr w14:paraId="711593D7">
        <w:tblPrEx>
          <w:tblCellMar>
            <w:top w:w="0" w:type="dxa"/>
            <w:left w:w="0" w:type="dxa"/>
            <w:bottom w:w="0" w:type="dxa"/>
            <w:right w:w="0" w:type="dxa"/>
          </w:tblCellMar>
        </w:tblPrEx>
        <w:trPr>
          <w:trHeight w:val="502"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638F9E2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49</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6A5F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030413001071</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63114">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 xml:space="preserve">横担抱箍   </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D3995">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横担抱箍    HBG6-280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FFCD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30A1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10</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D468229">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ABCDE0">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51B97959">
            <w:pPr>
              <w:spacing w:line="232" w:lineRule="auto"/>
              <w:jc w:val="right"/>
              <w:rPr>
                <w:rFonts w:ascii="宋体" w:hAnsi="宋体" w:eastAsia="宋体" w:cs="宋体"/>
                <w:color w:val="auto"/>
                <w:spacing w:val="-2"/>
                <w:sz w:val="21"/>
                <w:highlight w:val="none"/>
              </w:rPr>
            </w:pPr>
          </w:p>
        </w:tc>
      </w:tr>
      <w:tr w14:paraId="0D3A29D7">
        <w:tblPrEx>
          <w:tblCellMar>
            <w:top w:w="0" w:type="dxa"/>
            <w:left w:w="0" w:type="dxa"/>
            <w:bottom w:w="0" w:type="dxa"/>
            <w:right w:w="0" w:type="dxa"/>
          </w:tblCellMar>
        </w:tblPrEx>
        <w:trPr>
          <w:trHeight w:val="487"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6C5B9CF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50</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73A3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030413001072</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53016">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 xml:space="preserve">横担抱箍   </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0BC74">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横担抱箍    HBG6-300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1521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4601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58B3A72">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B90F04">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7B04C2A3">
            <w:pPr>
              <w:spacing w:line="232" w:lineRule="auto"/>
              <w:jc w:val="right"/>
              <w:rPr>
                <w:rFonts w:ascii="宋体" w:hAnsi="宋体" w:eastAsia="宋体" w:cs="宋体"/>
                <w:color w:val="auto"/>
                <w:spacing w:val="-2"/>
                <w:sz w:val="21"/>
                <w:highlight w:val="none"/>
              </w:rPr>
            </w:pPr>
          </w:p>
        </w:tc>
      </w:tr>
      <w:tr w14:paraId="2B961697">
        <w:tblPrEx>
          <w:tblCellMar>
            <w:top w:w="0" w:type="dxa"/>
            <w:left w:w="0" w:type="dxa"/>
            <w:bottom w:w="0" w:type="dxa"/>
            <w:right w:w="0" w:type="dxa"/>
          </w:tblCellMar>
        </w:tblPrEx>
        <w:trPr>
          <w:trHeight w:val="487"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4C38838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51</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2FE9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030413001037</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546DF">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 xml:space="preserve">横担抱箍    </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91FB5">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横担抱箍    HBG6-420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2CC7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9E9A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10</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2918CDE">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72C927">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33C8E4A3">
            <w:pPr>
              <w:spacing w:line="232" w:lineRule="auto"/>
              <w:jc w:val="right"/>
              <w:rPr>
                <w:rFonts w:ascii="宋体" w:hAnsi="宋体" w:eastAsia="宋体" w:cs="宋体"/>
                <w:color w:val="auto"/>
                <w:spacing w:val="-2"/>
                <w:sz w:val="21"/>
                <w:highlight w:val="none"/>
              </w:rPr>
            </w:pPr>
          </w:p>
        </w:tc>
      </w:tr>
      <w:tr w14:paraId="3E690559">
        <w:tblPrEx>
          <w:tblCellMar>
            <w:top w:w="0" w:type="dxa"/>
            <w:left w:w="0" w:type="dxa"/>
            <w:bottom w:w="0" w:type="dxa"/>
            <w:right w:w="0" w:type="dxa"/>
          </w:tblCellMar>
        </w:tblPrEx>
        <w:trPr>
          <w:trHeight w:val="757"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287446C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52</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F7E3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030413001066</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0A43A">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电缆卡抱   KBG4-110</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49456">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电缆卡抱   KBG4-110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849D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F833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64</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D88CBC2">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0F046A">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4554ACBF">
            <w:pPr>
              <w:spacing w:line="232" w:lineRule="auto"/>
              <w:jc w:val="right"/>
              <w:rPr>
                <w:rFonts w:ascii="宋体" w:hAnsi="宋体" w:eastAsia="宋体" w:cs="宋体"/>
                <w:color w:val="auto"/>
                <w:spacing w:val="-2"/>
                <w:sz w:val="21"/>
                <w:highlight w:val="none"/>
              </w:rPr>
            </w:pPr>
          </w:p>
        </w:tc>
      </w:tr>
      <w:tr w14:paraId="2853EA05">
        <w:tblPrEx>
          <w:tblCellMar>
            <w:top w:w="0" w:type="dxa"/>
            <w:left w:w="0" w:type="dxa"/>
            <w:bottom w:w="0" w:type="dxa"/>
            <w:right w:w="0" w:type="dxa"/>
          </w:tblCellMar>
        </w:tblPrEx>
        <w:trPr>
          <w:trHeight w:val="1239"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A14D46B">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53</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CC1B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030413001067</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1901F">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杆上电缆固定支架（二）  DLJ5-165A</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ACD5B">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杆上电缆固定支架（二）  DLJ5-165A</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9A8D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D3BD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8</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143645B">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62A3B1">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3DDD50EC">
            <w:pPr>
              <w:spacing w:line="232" w:lineRule="auto"/>
              <w:jc w:val="right"/>
              <w:rPr>
                <w:rFonts w:ascii="宋体" w:hAnsi="宋体" w:eastAsia="宋体" w:cs="宋体"/>
                <w:color w:val="auto"/>
                <w:spacing w:val="-2"/>
                <w:sz w:val="21"/>
                <w:highlight w:val="none"/>
              </w:rPr>
            </w:pPr>
          </w:p>
        </w:tc>
      </w:tr>
      <w:tr w14:paraId="04751E7C">
        <w:tblPrEx>
          <w:tblCellMar>
            <w:top w:w="0" w:type="dxa"/>
            <w:left w:w="0" w:type="dxa"/>
            <w:bottom w:w="0" w:type="dxa"/>
            <w:right w:w="0" w:type="dxa"/>
          </w:tblCellMar>
        </w:tblPrEx>
        <w:trPr>
          <w:trHeight w:val="598"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9530CD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54</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8580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030408008001</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46B6A">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防火堵洞</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33828">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4E90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处</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707F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DF8F7D5">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66D08E">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54EA3221">
            <w:pPr>
              <w:spacing w:line="232" w:lineRule="auto"/>
              <w:jc w:val="right"/>
              <w:rPr>
                <w:rFonts w:ascii="宋体" w:hAnsi="宋体" w:eastAsia="宋体" w:cs="宋体"/>
                <w:color w:val="auto"/>
                <w:spacing w:val="-2"/>
                <w:sz w:val="21"/>
                <w:highlight w:val="none"/>
              </w:rPr>
            </w:pPr>
          </w:p>
        </w:tc>
      </w:tr>
      <w:tr w14:paraId="45CDA680">
        <w:tblPrEx>
          <w:tblCellMar>
            <w:top w:w="0" w:type="dxa"/>
            <w:left w:w="0" w:type="dxa"/>
            <w:bottom w:w="0" w:type="dxa"/>
            <w:right w:w="0" w:type="dxa"/>
          </w:tblCellMar>
        </w:tblPrEx>
        <w:trPr>
          <w:trHeight w:val="731"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52DC158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55</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515DB">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030408003001</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A3406">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电缆保护管</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C0C85">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名称：镀锌钢管</w:t>
            </w:r>
          </w:p>
          <w:p w14:paraId="3CF5491F">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2.</w:t>
            </w:r>
            <w:r>
              <w:rPr>
                <w:rFonts w:ascii="宋体" w:hAnsi="宋体" w:eastAsia="宋体" w:cs="宋体"/>
                <w:color w:val="auto"/>
                <w:spacing w:val="-2"/>
                <w:sz w:val="21"/>
                <w:highlight w:val="none"/>
              </w:rPr>
              <w:t>规格：φ200</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壁厚</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5mm</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61EE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m</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5E0D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24</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753E87E">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3086D9">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6775F209">
            <w:pPr>
              <w:spacing w:line="232" w:lineRule="auto"/>
              <w:jc w:val="right"/>
              <w:rPr>
                <w:rFonts w:ascii="宋体" w:hAnsi="宋体" w:eastAsia="宋体" w:cs="宋体"/>
                <w:color w:val="auto"/>
                <w:spacing w:val="-2"/>
                <w:sz w:val="21"/>
                <w:highlight w:val="none"/>
              </w:rPr>
            </w:pPr>
          </w:p>
        </w:tc>
      </w:tr>
      <w:tr w14:paraId="44F12691">
        <w:tblPrEx>
          <w:tblCellMar>
            <w:top w:w="0" w:type="dxa"/>
            <w:left w:w="0" w:type="dxa"/>
            <w:bottom w:w="0" w:type="dxa"/>
            <w:right w:w="0" w:type="dxa"/>
          </w:tblCellMar>
        </w:tblPrEx>
        <w:trPr>
          <w:trHeight w:val="667"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616980EB">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56</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46ED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080601011001</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BF34A">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标志牌、标桩</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9BB54">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名称：电缆标志桩</w:t>
            </w:r>
          </w:p>
          <w:p w14:paraId="0C43A2B2">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2、类别：100*100*600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5EA1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根</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58B5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53F8F02">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3E1137">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6C286D5B">
            <w:pPr>
              <w:spacing w:line="232" w:lineRule="auto"/>
              <w:jc w:val="right"/>
              <w:rPr>
                <w:rFonts w:ascii="宋体" w:hAnsi="宋体" w:eastAsia="宋体" w:cs="宋体"/>
                <w:color w:val="auto"/>
                <w:spacing w:val="-2"/>
                <w:sz w:val="21"/>
                <w:highlight w:val="none"/>
              </w:rPr>
            </w:pPr>
          </w:p>
        </w:tc>
      </w:tr>
      <w:tr w14:paraId="14827733">
        <w:tblPrEx>
          <w:tblCellMar>
            <w:top w:w="0" w:type="dxa"/>
            <w:left w:w="0" w:type="dxa"/>
            <w:bottom w:w="0" w:type="dxa"/>
            <w:right w:w="0" w:type="dxa"/>
          </w:tblCellMar>
        </w:tblPrEx>
        <w:trPr>
          <w:trHeight w:val="727"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3B84F27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57</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232D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030410003005</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6A5BE">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导线架设</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25573">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名称：10kV架空绝缘导线</w:t>
            </w:r>
          </w:p>
          <w:p w14:paraId="5C2690EB">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2.</w:t>
            </w:r>
            <w:r>
              <w:rPr>
                <w:rFonts w:ascii="宋体" w:hAnsi="宋体" w:eastAsia="宋体" w:cs="宋体"/>
                <w:color w:val="auto"/>
                <w:spacing w:val="-2"/>
                <w:sz w:val="21"/>
                <w:highlight w:val="none"/>
              </w:rPr>
              <w:t>规格：JKLYJ-10kV-1*50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8B83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km</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A5E8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0.15</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DEBA77B">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D2BBF4">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1788FE39">
            <w:pPr>
              <w:spacing w:line="232" w:lineRule="auto"/>
              <w:jc w:val="right"/>
              <w:rPr>
                <w:rFonts w:ascii="宋体" w:hAnsi="宋体" w:eastAsia="宋体" w:cs="宋体"/>
                <w:color w:val="auto"/>
                <w:spacing w:val="-2"/>
                <w:sz w:val="21"/>
                <w:highlight w:val="none"/>
              </w:rPr>
            </w:pPr>
          </w:p>
        </w:tc>
      </w:tr>
      <w:tr w14:paraId="4F40E019">
        <w:tblPrEx>
          <w:tblCellMar>
            <w:top w:w="0" w:type="dxa"/>
            <w:left w:w="0" w:type="dxa"/>
            <w:bottom w:w="0" w:type="dxa"/>
            <w:right w:w="0" w:type="dxa"/>
          </w:tblCellMar>
        </w:tblPrEx>
        <w:trPr>
          <w:trHeight w:val="727"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3A10A20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58</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8CDD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030410003006</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85C22">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导线架设</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8BD5D">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名称：10kV架空绝缘导线</w:t>
            </w:r>
          </w:p>
          <w:p w14:paraId="3C5A9C7E">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2.</w:t>
            </w:r>
            <w:r>
              <w:rPr>
                <w:rFonts w:ascii="宋体" w:hAnsi="宋体" w:eastAsia="宋体" w:cs="宋体"/>
                <w:color w:val="auto"/>
                <w:spacing w:val="-2"/>
                <w:sz w:val="21"/>
                <w:highlight w:val="none"/>
              </w:rPr>
              <w:t>规格：JKLYJ-10kV-1*240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FC0D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km</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9D4F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6.336</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7C3E5CF">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4DB3E4">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5BC8C533">
            <w:pPr>
              <w:spacing w:line="232" w:lineRule="auto"/>
              <w:jc w:val="right"/>
              <w:rPr>
                <w:rFonts w:ascii="宋体" w:hAnsi="宋体" w:eastAsia="宋体" w:cs="宋体"/>
                <w:color w:val="auto"/>
                <w:spacing w:val="-2"/>
                <w:sz w:val="21"/>
                <w:highlight w:val="none"/>
              </w:rPr>
            </w:pPr>
          </w:p>
        </w:tc>
      </w:tr>
      <w:tr w14:paraId="2440CDCB">
        <w:tblPrEx>
          <w:tblCellMar>
            <w:top w:w="0" w:type="dxa"/>
            <w:left w:w="0" w:type="dxa"/>
            <w:bottom w:w="0" w:type="dxa"/>
            <w:right w:w="0" w:type="dxa"/>
          </w:tblCellMar>
        </w:tblPrEx>
        <w:trPr>
          <w:trHeight w:val="893"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40A5337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59</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1635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030410003007</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B0FBD">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导线架设</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BDD52">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名称：1kV架空绝缘导线</w:t>
            </w:r>
          </w:p>
          <w:p w14:paraId="6256C4C5">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2.</w:t>
            </w:r>
            <w:r>
              <w:rPr>
                <w:rFonts w:ascii="宋体" w:hAnsi="宋体" w:eastAsia="宋体" w:cs="宋体"/>
                <w:color w:val="auto"/>
                <w:spacing w:val="-2"/>
                <w:sz w:val="21"/>
                <w:highlight w:val="none"/>
              </w:rPr>
              <w:t>规格：JKLYJ-1kV-1*120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E2F9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km</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93F1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0.836</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358F2B7">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BF9881">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79AB5B62">
            <w:pPr>
              <w:spacing w:line="232" w:lineRule="auto"/>
              <w:jc w:val="right"/>
              <w:rPr>
                <w:rFonts w:ascii="宋体" w:hAnsi="宋体" w:eastAsia="宋体" w:cs="宋体"/>
                <w:color w:val="auto"/>
                <w:spacing w:val="-2"/>
                <w:sz w:val="21"/>
                <w:highlight w:val="none"/>
              </w:rPr>
            </w:pPr>
          </w:p>
        </w:tc>
      </w:tr>
      <w:tr w14:paraId="2EBB611F">
        <w:tblPrEx>
          <w:tblCellMar>
            <w:top w:w="0" w:type="dxa"/>
            <w:left w:w="0" w:type="dxa"/>
            <w:bottom w:w="0" w:type="dxa"/>
            <w:right w:w="0" w:type="dxa"/>
          </w:tblCellMar>
        </w:tblPrEx>
        <w:trPr>
          <w:trHeight w:val="1190"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EF4C27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60</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6138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030413001009</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A1E54">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异型并沟线</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0BFB3">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接续金具-异型并沟线夹接续金具-异型并沟线夹-型号</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JBL-50/240</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是否配绝缘罩</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是</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8B97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付</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054A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72</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6EE1ABF">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7CCFA6">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68A542F6">
            <w:pPr>
              <w:spacing w:line="232" w:lineRule="auto"/>
              <w:jc w:val="right"/>
              <w:rPr>
                <w:rFonts w:ascii="宋体" w:hAnsi="宋体" w:eastAsia="宋体" w:cs="宋体"/>
                <w:color w:val="auto"/>
                <w:spacing w:val="-2"/>
                <w:sz w:val="21"/>
                <w:highlight w:val="none"/>
              </w:rPr>
            </w:pPr>
          </w:p>
        </w:tc>
      </w:tr>
      <w:tr w14:paraId="50396F6D">
        <w:tblPrEx>
          <w:tblCellMar>
            <w:top w:w="0" w:type="dxa"/>
            <w:left w:w="0" w:type="dxa"/>
            <w:bottom w:w="0" w:type="dxa"/>
            <w:right w:w="0" w:type="dxa"/>
          </w:tblCellMar>
        </w:tblPrEx>
        <w:trPr>
          <w:trHeight w:val="845"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84CFAE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61</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1A71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030410001010</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C09A1">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拉线</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E2894">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拉线材质、规格、类型：GJ,80</w:t>
            </w:r>
          </w:p>
          <w:p w14:paraId="09E70F02">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2.</w:t>
            </w:r>
            <w:r>
              <w:rPr>
                <w:rFonts w:ascii="宋体" w:hAnsi="宋体" w:eastAsia="宋体" w:cs="宋体"/>
                <w:color w:val="auto"/>
                <w:spacing w:val="-2"/>
                <w:sz w:val="21"/>
                <w:highlight w:val="none"/>
              </w:rPr>
              <w:t>拉盘规格：LP 500*1000*200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8EAF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套</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B722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B41C109">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930E36">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38CF6843">
            <w:pPr>
              <w:spacing w:line="232" w:lineRule="auto"/>
              <w:jc w:val="right"/>
              <w:rPr>
                <w:rFonts w:ascii="宋体" w:hAnsi="宋体" w:eastAsia="宋体" w:cs="宋体"/>
                <w:color w:val="auto"/>
                <w:spacing w:val="-2"/>
                <w:sz w:val="21"/>
                <w:highlight w:val="none"/>
              </w:rPr>
            </w:pPr>
          </w:p>
        </w:tc>
      </w:tr>
      <w:tr w14:paraId="29E07AB6">
        <w:tblPrEx>
          <w:tblCellMar>
            <w:top w:w="0" w:type="dxa"/>
            <w:left w:w="0" w:type="dxa"/>
            <w:bottom w:w="0" w:type="dxa"/>
            <w:right w:w="0" w:type="dxa"/>
          </w:tblCellMar>
        </w:tblPrEx>
        <w:trPr>
          <w:trHeight w:val="661"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EE284F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62</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83EE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030410004003</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7BBB2">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杆上设备移位</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03113">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移位河东配变400kVA1台</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E642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组</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AB5A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F3BCA65">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EFF34A">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3B01EA92">
            <w:pPr>
              <w:spacing w:line="232" w:lineRule="auto"/>
              <w:jc w:val="right"/>
              <w:rPr>
                <w:rFonts w:ascii="宋体" w:hAnsi="宋体" w:eastAsia="宋体" w:cs="宋体"/>
                <w:color w:val="auto"/>
                <w:spacing w:val="-2"/>
                <w:sz w:val="21"/>
                <w:highlight w:val="none"/>
              </w:rPr>
            </w:pPr>
          </w:p>
        </w:tc>
      </w:tr>
      <w:tr w14:paraId="617FFD71">
        <w:tblPrEx>
          <w:tblCellMar>
            <w:top w:w="0" w:type="dxa"/>
            <w:left w:w="0" w:type="dxa"/>
            <w:bottom w:w="0" w:type="dxa"/>
            <w:right w:w="0" w:type="dxa"/>
          </w:tblCellMar>
        </w:tblPrEx>
        <w:trPr>
          <w:trHeight w:val="677"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4D311EE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63</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FEEB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030414002001</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68FAC">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送配电装置系统</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32A38">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10kV以下交流供电 断路器</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2882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系统</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4A65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5</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C032DCB">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B17C0F">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67F1CE86">
            <w:pPr>
              <w:spacing w:line="232" w:lineRule="auto"/>
              <w:jc w:val="right"/>
              <w:rPr>
                <w:rFonts w:ascii="宋体" w:hAnsi="宋体" w:eastAsia="宋体" w:cs="宋体"/>
                <w:color w:val="auto"/>
                <w:spacing w:val="-2"/>
                <w:sz w:val="21"/>
                <w:highlight w:val="none"/>
              </w:rPr>
            </w:pPr>
          </w:p>
        </w:tc>
      </w:tr>
      <w:tr w14:paraId="70342CA7">
        <w:tblPrEx>
          <w:tblCellMar>
            <w:top w:w="0" w:type="dxa"/>
            <w:left w:w="0" w:type="dxa"/>
            <w:bottom w:w="0" w:type="dxa"/>
            <w:right w:w="0" w:type="dxa"/>
          </w:tblCellMar>
        </w:tblPrEx>
        <w:trPr>
          <w:trHeight w:val="502"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432DB83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64</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F4F9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030414009001</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11C37">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避雷器</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C3112">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避雷器调试 10kV以下</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6B05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组</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31D3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21</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FBC9D44">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F2F06D">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3DB178E2">
            <w:pPr>
              <w:spacing w:line="232" w:lineRule="auto"/>
              <w:jc w:val="right"/>
              <w:rPr>
                <w:rFonts w:ascii="宋体" w:hAnsi="宋体" w:eastAsia="宋体" w:cs="宋体"/>
                <w:color w:val="auto"/>
                <w:spacing w:val="-2"/>
                <w:sz w:val="21"/>
                <w:highlight w:val="none"/>
              </w:rPr>
            </w:pPr>
          </w:p>
        </w:tc>
      </w:tr>
      <w:tr w14:paraId="73A66DD3">
        <w:tblPrEx>
          <w:tblCellMar>
            <w:top w:w="0" w:type="dxa"/>
            <w:left w:w="0" w:type="dxa"/>
            <w:bottom w:w="0" w:type="dxa"/>
            <w:right w:w="0" w:type="dxa"/>
          </w:tblCellMar>
        </w:tblPrEx>
        <w:trPr>
          <w:trHeight w:val="563"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2975480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65</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B5ED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030414015001</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D6E1D">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电缆试验</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A81A0">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86C1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次</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根、点</w:t>
            </w:r>
            <w:r>
              <w:rPr>
                <w:rFonts w:hint="eastAsia" w:ascii="宋体" w:hAnsi="宋体" w:eastAsia="宋体" w:cs="宋体"/>
                <w:color w:val="auto"/>
                <w:spacing w:val="-2"/>
                <w:sz w:val="21"/>
                <w:highlight w:val="none"/>
                <w:lang w:eastAsia="zh-CN"/>
              </w:rPr>
              <w:t>）</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3F5F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8</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0274594">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9FEFB5">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2E10DB63">
            <w:pPr>
              <w:spacing w:line="232" w:lineRule="auto"/>
              <w:jc w:val="right"/>
              <w:rPr>
                <w:rFonts w:ascii="宋体" w:hAnsi="宋体" w:eastAsia="宋体" w:cs="宋体"/>
                <w:color w:val="auto"/>
                <w:spacing w:val="-2"/>
                <w:sz w:val="21"/>
                <w:highlight w:val="none"/>
              </w:rPr>
            </w:pPr>
          </w:p>
        </w:tc>
      </w:tr>
      <w:tr w14:paraId="5CC1A5AE">
        <w:tblPrEx>
          <w:tblCellMar>
            <w:top w:w="0" w:type="dxa"/>
            <w:left w:w="0" w:type="dxa"/>
            <w:bottom w:w="0" w:type="dxa"/>
            <w:right w:w="0" w:type="dxa"/>
          </w:tblCellMar>
        </w:tblPrEx>
        <w:trPr>
          <w:trHeight w:val="480" w:hRule="exact"/>
        </w:trPr>
        <w:tc>
          <w:tcPr>
            <w:tcW w:w="8110" w:type="dxa"/>
            <w:gridSpan w:val="9"/>
            <w:tcBorders>
              <w:top w:val="single" w:color="000000" w:sz="4" w:space="0"/>
              <w:left w:val="single" w:color="000000" w:sz="10" w:space="0"/>
              <w:bottom w:val="single" w:color="auto" w:sz="4" w:space="0"/>
              <w:right w:val="single" w:color="000000" w:sz="4" w:space="0"/>
            </w:tcBorders>
            <w:shd w:val="clear" w:color="auto" w:fill="auto"/>
            <w:vAlign w:val="center"/>
          </w:tcPr>
          <w:p w14:paraId="77967E8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本页小计</w:t>
            </w:r>
          </w:p>
        </w:tc>
        <w:tc>
          <w:tcPr>
            <w:tcW w:w="1009" w:type="dxa"/>
            <w:gridSpan w:val="2"/>
            <w:tcBorders>
              <w:top w:val="single" w:color="000000" w:sz="4" w:space="0"/>
              <w:left w:val="single" w:color="000000" w:sz="4" w:space="0"/>
              <w:bottom w:val="single" w:color="auto" w:sz="4" w:space="0"/>
              <w:right w:val="single" w:color="000000" w:sz="4" w:space="0"/>
            </w:tcBorders>
            <w:shd w:val="clear" w:color="auto" w:fill="auto"/>
          </w:tcPr>
          <w:p w14:paraId="4512D8EA">
            <w:pPr>
              <w:spacing w:line="232" w:lineRule="auto"/>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auto" w:sz="4" w:space="0"/>
              <w:right w:val="single" w:color="000000" w:sz="10" w:space="0"/>
            </w:tcBorders>
            <w:shd w:val="clear" w:color="auto" w:fill="auto"/>
          </w:tcPr>
          <w:p w14:paraId="451C1E51">
            <w:pPr>
              <w:spacing w:line="232" w:lineRule="auto"/>
              <w:rPr>
                <w:rFonts w:ascii="宋体" w:hAnsi="宋体" w:eastAsia="宋体" w:cs="宋体"/>
                <w:color w:val="auto"/>
                <w:spacing w:val="-2"/>
                <w:sz w:val="21"/>
                <w:highlight w:val="none"/>
              </w:rPr>
            </w:pPr>
          </w:p>
        </w:tc>
      </w:tr>
      <w:tr w14:paraId="3B48B670">
        <w:tblPrEx>
          <w:tblCellMar>
            <w:top w:w="0" w:type="dxa"/>
            <w:left w:w="0" w:type="dxa"/>
            <w:bottom w:w="0" w:type="dxa"/>
            <w:right w:w="0" w:type="dxa"/>
          </w:tblCellMar>
        </w:tblPrEx>
        <w:trPr>
          <w:trHeight w:val="673" w:hRule="exact"/>
        </w:trPr>
        <w:tc>
          <w:tcPr>
            <w:tcW w:w="10114" w:type="dxa"/>
            <w:gridSpan w:val="12"/>
            <w:tcBorders>
              <w:top w:val="single" w:color="auto" w:sz="4" w:space="0"/>
              <w:left w:val="single" w:color="auto" w:sz="4" w:space="0"/>
              <w:bottom w:val="single" w:color="auto" w:sz="4" w:space="0"/>
              <w:right w:val="single" w:color="auto" w:sz="4" w:space="0"/>
            </w:tcBorders>
            <w:shd w:val="clear" w:color="auto" w:fill="auto"/>
            <w:vAlign w:val="center"/>
          </w:tcPr>
          <w:p w14:paraId="590432F1">
            <w:pPr>
              <w:spacing w:line="232" w:lineRule="auto"/>
              <w:jc w:val="center"/>
              <w:rPr>
                <w:rFonts w:hint="eastAsia" w:ascii="宋体" w:hAnsi="宋体" w:eastAsia="宋体" w:cs="宋体"/>
                <w:b/>
                <w:color w:val="auto"/>
                <w:spacing w:val="-2"/>
                <w:sz w:val="32"/>
                <w:highlight w:val="none"/>
                <w:lang w:eastAsia="zh-CN"/>
              </w:rPr>
            </w:pPr>
            <w:r>
              <w:rPr>
                <w:rFonts w:hint="eastAsia" w:ascii="宋体" w:hAnsi="宋体" w:eastAsia="宋体" w:cs="宋体"/>
                <w:b/>
                <w:color w:val="auto"/>
                <w:spacing w:val="-2"/>
                <w:sz w:val="32"/>
                <w:highlight w:val="none"/>
                <w:lang w:eastAsia="zh-CN"/>
              </w:rPr>
              <w:t>全费用工程量清单与计价表</w:t>
            </w:r>
          </w:p>
        </w:tc>
      </w:tr>
      <w:tr w14:paraId="47EFE5CE">
        <w:tblPrEx>
          <w:tblCellMar>
            <w:top w:w="0" w:type="dxa"/>
            <w:left w:w="0" w:type="dxa"/>
            <w:bottom w:w="0" w:type="dxa"/>
            <w:right w:w="0" w:type="dxa"/>
          </w:tblCellMar>
        </w:tblPrEx>
        <w:trPr>
          <w:trHeight w:val="344" w:hRule="exact"/>
        </w:trPr>
        <w:tc>
          <w:tcPr>
            <w:tcW w:w="5508"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6731CB0D">
            <w:pPr>
              <w:spacing w:line="232" w:lineRule="auto"/>
              <w:rPr>
                <w:rFonts w:ascii="黑体" w:hAnsi="黑体" w:eastAsia="黑体" w:cs="黑体"/>
                <w:color w:val="auto"/>
                <w:spacing w:val="-2"/>
                <w:sz w:val="21"/>
                <w:highlight w:val="none"/>
              </w:rPr>
            </w:pPr>
            <w:r>
              <w:rPr>
                <w:rFonts w:ascii="黑体" w:hAnsi="黑体" w:eastAsia="黑体" w:cs="黑体"/>
                <w:color w:val="auto"/>
                <w:spacing w:val="-2"/>
                <w:sz w:val="21"/>
                <w:highlight w:val="none"/>
              </w:rPr>
              <w:t>工程名称：安装</w:t>
            </w:r>
          </w:p>
        </w:tc>
        <w:tc>
          <w:tcPr>
            <w:tcW w:w="284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F59DA4F">
            <w:pPr>
              <w:spacing w:line="232" w:lineRule="auto"/>
              <w:rPr>
                <w:rFonts w:ascii="黑体" w:hAnsi="黑体" w:eastAsia="黑体" w:cs="黑体"/>
                <w:color w:val="auto"/>
                <w:spacing w:val="-2"/>
                <w:sz w:val="21"/>
                <w:highlight w:val="none"/>
              </w:rPr>
            </w:pPr>
            <w:r>
              <w:rPr>
                <w:rFonts w:ascii="黑体" w:hAnsi="黑体" w:eastAsia="黑体" w:cs="黑体"/>
                <w:color w:val="auto"/>
                <w:spacing w:val="-2"/>
                <w:sz w:val="21"/>
                <w:highlight w:val="none"/>
              </w:rPr>
              <w:t>标段：</w:t>
            </w:r>
          </w:p>
        </w:tc>
        <w:tc>
          <w:tcPr>
            <w:tcW w:w="176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5691A9A">
            <w:pPr>
              <w:spacing w:line="232" w:lineRule="auto"/>
              <w:jc w:val="right"/>
              <w:rPr>
                <w:rFonts w:ascii="黑体" w:hAnsi="黑体" w:eastAsia="黑体" w:cs="黑体"/>
                <w:color w:val="auto"/>
                <w:spacing w:val="-2"/>
                <w:sz w:val="21"/>
                <w:highlight w:val="none"/>
              </w:rPr>
            </w:pPr>
            <w:r>
              <w:rPr>
                <w:rFonts w:ascii="黑体" w:hAnsi="黑体" w:eastAsia="黑体" w:cs="黑体"/>
                <w:color w:val="auto"/>
                <w:spacing w:val="-2"/>
                <w:sz w:val="21"/>
                <w:highlight w:val="none"/>
              </w:rPr>
              <w:t>第5页 共5页</w:t>
            </w:r>
          </w:p>
        </w:tc>
      </w:tr>
      <w:tr w14:paraId="4F1C629D">
        <w:tblPrEx>
          <w:tblCellMar>
            <w:top w:w="0" w:type="dxa"/>
            <w:left w:w="0" w:type="dxa"/>
            <w:bottom w:w="0" w:type="dxa"/>
            <w:right w:w="0" w:type="dxa"/>
          </w:tblCellMar>
        </w:tblPrEx>
        <w:trPr>
          <w:trHeight w:val="301" w:hRule="exact"/>
        </w:trPr>
        <w:tc>
          <w:tcPr>
            <w:tcW w:w="470" w:type="dxa"/>
            <w:vMerge w:val="restart"/>
            <w:tcBorders>
              <w:top w:val="single" w:color="auto" w:sz="4" w:space="0"/>
              <w:left w:val="single" w:color="000000" w:sz="10" w:space="0"/>
              <w:bottom w:val="single" w:color="auto" w:sz="4" w:space="0"/>
              <w:right w:val="single" w:color="000000" w:sz="4" w:space="0"/>
            </w:tcBorders>
            <w:shd w:val="clear" w:color="auto" w:fill="FFFFFF"/>
            <w:vAlign w:val="center"/>
          </w:tcPr>
          <w:p w14:paraId="47A8EEB7">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序号</w:t>
            </w:r>
          </w:p>
        </w:tc>
        <w:tc>
          <w:tcPr>
            <w:tcW w:w="1341"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163198CA">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项目编码</w:t>
            </w:r>
          </w:p>
        </w:tc>
        <w:tc>
          <w:tcPr>
            <w:tcW w:w="1082"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455F1EB6">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项目名称</w:t>
            </w:r>
          </w:p>
        </w:tc>
        <w:tc>
          <w:tcPr>
            <w:tcW w:w="2615"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28674E86">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项目特征描述</w:t>
            </w:r>
          </w:p>
        </w:tc>
        <w:tc>
          <w:tcPr>
            <w:tcW w:w="823"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615D91C3">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计量</w:t>
            </w:r>
          </w:p>
          <w:p w14:paraId="2E091A8F">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单位</w:t>
            </w:r>
          </w:p>
        </w:tc>
        <w:tc>
          <w:tcPr>
            <w:tcW w:w="837"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06A23E73">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工程量</w:t>
            </w:r>
          </w:p>
        </w:tc>
        <w:tc>
          <w:tcPr>
            <w:tcW w:w="2946" w:type="dxa"/>
            <w:gridSpan w:val="6"/>
            <w:tcBorders>
              <w:top w:val="single" w:color="auto" w:sz="4" w:space="0"/>
              <w:left w:val="single" w:color="000000" w:sz="4" w:space="0"/>
              <w:bottom w:val="single" w:color="auto" w:sz="4" w:space="0"/>
              <w:right w:val="single" w:color="000000" w:sz="10" w:space="0"/>
            </w:tcBorders>
            <w:shd w:val="clear" w:color="auto" w:fill="FFFFFF"/>
            <w:vAlign w:val="center"/>
          </w:tcPr>
          <w:p w14:paraId="6BDA704F">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金额（元）</w:t>
            </w:r>
          </w:p>
        </w:tc>
      </w:tr>
      <w:tr w14:paraId="34F82362">
        <w:tblPrEx>
          <w:tblCellMar>
            <w:top w:w="0" w:type="dxa"/>
            <w:left w:w="0" w:type="dxa"/>
            <w:bottom w:w="0" w:type="dxa"/>
            <w:right w:w="0" w:type="dxa"/>
          </w:tblCellMar>
        </w:tblPrEx>
        <w:trPr>
          <w:trHeight w:val="301" w:hRule="exact"/>
        </w:trPr>
        <w:tc>
          <w:tcPr>
            <w:tcW w:w="470" w:type="dxa"/>
            <w:vMerge w:val="continue"/>
            <w:tcBorders>
              <w:top w:val="single" w:color="auto" w:sz="4" w:space="0"/>
              <w:left w:val="single" w:color="000000" w:sz="10" w:space="0"/>
              <w:bottom w:val="single" w:color="auto" w:sz="4" w:space="0"/>
              <w:right w:val="single" w:color="000000" w:sz="4" w:space="0"/>
            </w:tcBorders>
            <w:shd w:val="clear" w:color="auto" w:fill="FFFFFF"/>
            <w:vAlign w:val="center"/>
          </w:tcPr>
          <w:p w14:paraId="70302E92">
            <w:pPr>
              <w:rPr>
                <w:color w:val="auto"/>
                <w:highlight w:val="none"/>
              </w:rPr>
            </w:pPr>
          </w:p>
        </w:tc>
        <w:tc>
          <w:tcPr>
            <w:tcW w:w="1341"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0BD029C3">
            <w:pPr>
              <w:rPr>
                <w:color w:val="auto"/>
                <w:highlight w:val="none"/>
              </w:rPr>
            </w:pPr>
          </w:p>
        </w:tc>
        <w:tc>
          <w:tcPr>
            <w:tcW w:w="1082"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6DCBF938">
            <w:pPr>
              <w:rPr>
                <w:color w:val="auto"/>
                <w:highlight w:val="none"/>
              </w:rPr>
            </w:pPr>
          </w:p>
        </w:tc>
        <w:tc>
          <w:tcPr>
            <w:tcW w:w="2615"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0DFDF66F">
            <w:pPr>
              <w:rPr>
                <w:color w:val="auto"/>
                <w:highlight w:val="none"/>
              </w:rPr>
            </w:pPr>
          </w:p>
        </w:tc>
        <w:tc>
          <w:tcPr>
            <w:tcW w:w="823"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0BAB153A">
            <w:pPr>
              <w:rPr>
                <w:color w:val="auto"/>
                <w:highlight w:val="none"/>
              </w:rPr>
            </w:pPr>
          </w:p>
        </w:tc>
        <w:tc>
          <w:tcPr>
            <w:tcW w:w="837"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6F3B0DBF">
            <w:pPr>
              <w:jc w:val="center"/>
              <w:rPr>
                <w:color w:val="auto"/>
                <w:highlight w:val="none"/>
              </w:rPr>
            </w:pPr>
          </w:p>
        </w:tc>
        <w:tc>
          <w:tcPr>
            <w:tcW w:w="942" w:type="dxa"/>
            <w:gridSpan w:val="3"/>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3C03C10F">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综合单价</w:t>
            </w:r>
          </w:p>
        </w:tc>
        <w:tc>
          <w:tcPr>
            <w:tcW w:w="1009" w:type="dxa"/>
            <w:gridSpan w:val="2"/>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1D12F202">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合价</w:t>
            </w:r>
          </w:p>
        </w:tc>
        <w:tc>
          <w:tcPr>
            <w:tcW w:w="995" w:type="dxa"/>
            <w:tcBorders>
              <w:top w:val="single" w:color="auto" w:sz="4" w:space="0"/>
              <w:left w:val="single" w:color="000000" w:sz="4" w:space="0"/>
              <w:bottom w:val="single" w:color="auto" w:sz="4" w:space="0"/>
              <w:right w:val="single" w:color="000000" w:sz="10" w:space="0"/>
            </w:tcBorders>
            <w:shd w:val="clear" w:color="auto" w:fill="FFFFFF"/>
            <w:vAlign w:val="center"/>
          </w:tcPr>
          <w:p w14:paraId="422F0924">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其中</w:t>
            </w:r>
          </w:p>
        </w:tc>
      </w:tr>
      <w:tr w14:paraId="3194C31E">
        <w:tblPrEx>
          <w:tblCellMar>
            <w:top w:w="0" w:type="dxa"/>
            <w:left w:w="0" w:type="dxa"/>
            <w:bottom w:w="0" w:type="dxa"/>
            <w:right w:w="0" w:type="dxa"/>
          </w:tblCellMar>
        </w:tblPrEx>
        <w:trPr>
          <w:trHeight w:val="287" w:hRule="exact"/>
        </w:trPr>
        <w:tc>
          <w:tcPr>
            <w:tcW w:w="470" w:type="dxa"/>
            <w:vMerge w:val="continue"/>
            <w:tcBorders>
              <w:top w:val="single" w:color="auto" w:sz="4" w:space="0"/>
              <w:left w:val="single" w:color="000000" w:sz="10" w:space="0"/>
              <w:bottom w:val="single" w:color="000000" w:sz="4" w:space="0"/>
              <w:right w:val="single" w:color="000000" w:sz="4" w:space="0"/>
            </w:tcBorders>
            <w:shd w:val="clear" w:color="auto" w:fill="FFFFFF"/>
            <w:vAlign w:val="center"/>
          </w:tcPr>
          <w:p w14:paraId="2FCFDC37">
            <w:pPr>
              <w:rPr>
                <w:color w:val="auto"/>
                <w:highlight w:val="none"/>
              </w:rPr>
            </w:pPr>
          </w:p>
        </w:tc>
        <w:tc>
          <w:tcPr>
            <w:tcW w:w="1341"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2089C594">
            <w:pPr>
              <w:rPr>
                <w:color w:val="auto"/>
                <w:highlight w:val="none"/>
              </w:rPr>
            </w:pPr>
          </w:p>
        </w:tc>
        <w:tc>
          <w:tcPr>
            <w:tcW w:w="1082"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3CDEA9C1">
            <w:pPr>
              <w:rPr>
                <w:color w:val="auto"/>
                <w:highlight w:val="none"/>
              </w:rPr>
            </w:pPr>
          </w:p>
        </w:tc>
        <w:tc>
          <w:tcPr>
            <w:tcW w:w="2615"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49F21479">
            <w:pPr>
              <w:rPr>
                <w:color w:val="auto"/>
                <w:highlight w:val="none"/>
              </w:rPr>
            </w:pPr>
          </w:p>
        </w:tc>
        <w:tc>
          <w:tcPr>
            <w:tcW w:w="823"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765FB8B7">
            <w:pPr>
              <w:rPr>
                <w:color w:val="auto"/>
                <w:highlight w:val="none"/>
              </w:rPr>
            </w:pPr>
          </w:p>
        </w:tc>
        <w:tc>
          <w:tcPr>
            <w:tcW w:w="837"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4669A5CB">
            <w:pPr>
              <w:jc w:val="center"/>
              <w:rPr>
                <w:color w:val="auto"/>
                <w:highlight w:val="none"/>
              </w:rPr>
            </w:pPr>
          </w:p>
        </w:tc>
        <w:tc>
          <w:tcPr>
            <w:tcW w:w="942" w:type="dxa"/>
            <w:gridSpan w:val="3"/>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7FDDC6E7">
            <w:pPr>
              <w:rPr>
                <w:color w:val="auto"/>
                <w:highlight w:val="none"/>
              </w:rPr>
            </w:pPr>
          </w:p>
        </w:tc>
        <w:tc>
          <w:tcPr>
            <w:tcW w:w="1009" w:type="dxa"/>
            <w:gridSpan w:val="2"/>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15750F7E">
            <w:pPr>
              <w:rPr>
                <w:color w:val="auto"/>
                <w:highlight w:val="none"/>
              </w:rPr>
            </w:pPr>
          </w:p>
        </w:tc>
        <w:tc>
          <w:tcPr>
            <w:tcW w:w="995" w:type="dxa"/>
            <w:tcBorders>
              <w:top w:val="single" w:color="auto" w:sz="4" w:space="0"/>
              <w:left w:val="single" w:color="000000" w:sz="4" w:space="0"/>
              <w:bottom w:val="single" w:color="000000" w:sz="4" w:space="0"/>
              <w:right w:val="single" w:color="000000" w:sz="10" w:space="0"/>
            </w:tcBorders>
            <w:shd w:val="clear" w:color="auto" w:fill="FFFFFF"/>
            <w:vAlign w:val="center"/>
          </w:tcPr>
          <w:p w14:paraId="49843DF8">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暂估价</w:t>
            </w:r>
          </w:p>
        </w:tc>
      </w:tr>
      <w:tr w14:paraId="616438CE">
        <w:tblPrEx>
          <w:tblCellMar>
            <w:top w:w="0" w:type="dxa"/>
            <w:left w:w="0" w:type="dxa"/>
            <w:bottom w:w="0" w:type="dxa"/>
            <w:right w:w="0" w:type="dxa"/>
          </w:tblCellMar>
        </w:tblPrEx>
        <w:trPr>
          <w:trHeight w:val="565"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5FABD87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66</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1CFCB">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030414011001</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6BC6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接地装置</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8EE10">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E734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组</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34C7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25</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E272FB4">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682419">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0412F94D">
            <w:pPr>
              <w:spacing w:line="232" w:lineRule="auto"/>
              <w:jc w:val="right"/>
              <w:rPr>
                <w:rFonts w:ascii="宋体" w:hAnsi="宋体" w:eastAsia="宋体" w:cs="宋体"/>
                <w:color w:val="auto"/>
                <w:spacing w:val="-2"/>
                <w:sz w:val="21"/>
                <w:highlight w:val="none"/>
              </w:rPr>
            </w:pPr>
          </w:p>
        </w:tc>
      </w:tr>
      <w:tr w14:paraId="14797168">
        <w:tblPrEx>
          <w:tblCellMar>
            <w:top w:w="0" w:type="dxa"/>
            <w:left w:w="0" w:type="dxa"/>
            <w:bottom w:w="0" w:type="dxa"/>
            <w:right w:w="0" w:type="dxa"/>
          </w:tblCellMar>
        </w:tblPrEx>
        <w:trPr>
          <w:trHeight w:val="694"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2F2D564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67</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3D78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030410001036</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980E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电杆拆除</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CF817">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名称：钢管塔拆除</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F676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根</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基</w:t>
            </w:r>
            <w:r>
              <w:rPr>
                <w:rFonts w:hint="eastAsia" w:ascii="宋体" w:hAnsi="宋体" w:eastAsia="宋体" w:cs="宋体"/>
                <w:color w:val="auto"/>
                <w:spacing w:val="-2"/>
                <w:sz w:val="21"/>
                <w:highlight w:val="none"/>
                <w:lang w:eastAsia="zh-CN"/>
              </w:rPr>
              <w:t>）</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98E7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55B546A">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CF85D7">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54D0D09A">
            <w:pPr>
              <w:spacing w:line="232" w:lineRule="auto"/>
              <w:jc w:val="right"/>
              <w:rPr>
                <w:rFonts w:ascii="宋体" w:hAnsi="宋体" w:eastAsia="宋体" w:cs="宋体"/>
                <w:color w:val="auto"/>
                <w:spacing w:val="-2"/>
                <w:sz w:val="21"/>
                <w:highlight w:val="none"/>
              </w:rPr>
            </w:pPr>
          </w:p>
        </w:tc>
      </w:tr>
      <w:tr w14:paraId="2805986A">
        <w:tblPrEx>
          <w:tblCellMar>
            <w:top w:w="0" w:type="dxa"/>
            <w:left w:w="0" w:type="dxa"/>
            <w:bottom w:w="0" w:type="dxa"/>
            <w:right w:w="0" w:type="dxa"/>
          </w:tblCellMar>
        </w:tblPrEx>
        <w:trPr>
          <w:trHeight w:val="611"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5082EEF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68</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795E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030410001034</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ADEE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电杆拆除</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58346">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名称：电杆拆除</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BF23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根</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基</w:t>
            </w:r>
            <w:r>
              <w:rPr>
                <w:rFonts w:hint="eastAsia" w:ascii="宋体" w:hAnsi="宋体" w:eastAsia="宋体" w:cs="宋体"/>
                <w:color w:val="auto"/>
                <w:spacing w:val="-2"/>
                <w:sz w:val="21"/>
                <w:highlight w:val="none"/>
                <w:lang w:eastAsia="zh-CN"/>
              </w:rPr>
              <w:t>）</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7B48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15</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A0E736F">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6790C4">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110E5CC6">
            <w:pPr>
              <w:spacing w:line="232" w:lineRule="auto"/>
              <w:jc w:val="right"/>
              <w:rPr>
                <w:rFonts w:ascii="宋体" w:hAnsi="宋体" w:eastAsia="宋体" w:cs="宋体"/>
                <w:color w:val="auto"/>
                <w:spacing w:val="-2"/>
                <w:sz w:val="21"/>
                <w:highlight w:val="none"/>
              </w:rPr>
            </w:pPr>
          </w:p>
        </w:tc>
      </w:tr>
      <w:tr w14:paraId="31C214DD">
        <w:tblPrEx>
          <w:tblCellMar>
            <w:top w:w="0" w:type="dxa"/>
            <w:left w:w="0" w:type="dxa"/>
            <w:bottom w:w="0" w:type="dxa"/>
            <w:right w:w="0" w:type="dxa"/>
          </w:tblCellMar>
        </w:tblPrEx>
        <w:trPr>
          <w:trHeight w:val="455"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57A4CA1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69</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60DFB">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030410003004</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4EFE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导线拆除</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44841">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EA72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km</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4102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6.624</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FA0AEBC">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61DE58">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0B3DF025">
            <w:pPr>
              <w:spacing w:line="232" w:lineRule="auto"/>
              <w:jc w:val="right"/>
              <w:rPr>
                <w:rFonts w:ascii="宋体" w:hAnsi="宋体" w:eastAsia="宋体" w:cs="宋体"/>
                <w:color w:val="auto"/>
                <w:spacing w:val="-2"/>
                <w:sz w:val="21"/>
                <w:highlight w:val="none"/>
              </w:rPr>
            </w:pPr>
          </w:p>
        </w:tc>
      </w:tr>
      <w:tr w14:paraId="1E52B05A">
        <w:tblPrEx>
          <w:tblCellMar>
            <w:top w:w="0" w:type="dxa"/>
            <w:left w:w="0" w:type="dxa"/>
            <w:bottom w:w="0" w:type="dxa"/>
            <w:right w:w="0" w:type="dxa"/>
          </w:tblCellMar>
        </w:tblPrEx>
        <w:trPr>
          <w:trHeight w:val="452"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21E34DD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70</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1D6E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030410002006</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8824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横担拆除</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997C9">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2179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组</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300D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31</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049868">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DF5819">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2D9E1F22">
            <w:pPr>
              <w:spacing w:line="232" w:lineRule="auto"/>
              <w:jc w:val="right"/>
              <w:rPr>
                <w:rFonts w:ascii="宋体" w:hAnsi="宋体" w:eastAsia="宋体" w:cs="宋体"/>
                <w:color w:val="auto"/>
                <w:spacing w:val="-2"/>
                <w:sz w:val="21"/>
                <w:highlight w:val="none"/>
              </w:rPr>
            </w:pPr>
          </w:p>
        </w:tc>
      </w:tr>
      <w:tr w14:paraId="32286CDC">
        <w:tblPrEx>
          <w:tblCellMar>
            <w:top w:w="0" w:type="dxa"/>
            <w:left w:w="0" w:type="dxa"/>
            <w:bottom w:w="0" w:type="dxa"/>
            <w:right w:w="0" w:type="dxa"/>
          </w:tblCellMar>
        </w:tblPrEx>
        <w:trPr>
          <w:trHeight w:val="520"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3275E2F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71</w:t>
            </w: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996F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030410002008</w:t>
            </w: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8B79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拉线拆除</w:t>
            </w: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44F90">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FEB4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组</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B010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9AAE480">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A1C349">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17315693">
            <w:pPr>
              <w:spacing w:line="232" w:lineRule="auto"/>
              <w:jc w:val="right"/>
              <w:rPr>
                <w:rFonts w:ascii="宋体" w:hAnsi="宋体" w:eastAsia="宋体" w:cs="宋体"/>
                <w:color w:val="auto"/>
                <w:spacing w:val="-2"/>
                <w:sz w:val="21"/>
                <w:highlight w:val="none"/>
              </w:rPr>
            </w:pPr>
          </w:p>
        </w:tc>
      </w:tr>
      <w:tr w14:paraId="5E48D3C5">
        <w:tblPrEx>
          <w:tblCellMar>
            <w:top w:w="0" w:type="dxa"/>
            <w:left w:w="0" w:type="dxa"/>
            <w:bottom w:w="0" w:type="dxa"/>
            <w:right w:w="0" w:type="dxa"/>
          </w:tblCellMar>
        </w:tblPrEx>
        <w:trPr>
          <w:trHeight w:val="344"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66DC9197">
            <w:pPr>
              <w:spacing w:line="232" w:lineRule="auto"/>
              <w:jc w:val="center"/>
              <w:rPr>
                <w:rFonts w:ascii="宋体" w:hAnsi="宋体" w:eastAsia="宋体" w:cs="宋体"/>
                <w:color w:val="auto"/>
                <w:spacing w:val="-2"/>
                <w:sz w:val="21"/>
                <w:highlight w:val="none"/>
              </w:rPr>
            </w:pP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AE2EE">
            <w:pPr>
              <w:spacing w:line="232" w:lineRule="auto"/>
              <w:jc w:val="center"/>
              <w:rPr>
                <w:rFonts w:ascii="宋体" w:hAnsi="宋体" w:eastAsia="宋体" w:cs="宋体"/>
                <w:color w:val="auto"/>
                <w:spacing w:val="-2"/>
                <w:sz w:val="21"/>
                <w:highlight w:val="none"/>
              </w:rPr>
            </w:pPr>
          </w:p>
        </w:tc>
        <w:tc>
          <w:tcPr>
            <w:tcW w:w="36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15AD5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分部分项合计</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47B68">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6689A">
            <w:pPr>
              <w:spacing w:line="232" w:lineRule="auto"/>
              <w:jc w:val="right"/>
              <w:rPr>
                <w:rFonts w:ascii="宋体" w:hAnsi="宋体" w:eastAsia="宋体" w:cs="宋体"/>
                <w:color w:val="auto"/>
                <w:spacing w:val="-2"/>
                <w:sz w:val="21"/>
                <w:highlight w:val="none"/>
              </w:rPr>
            </w:pPr>
            <w:r>
              <w:rPr>
                <w:rFonts w:ascii="宋体" w:hAnsi="宋体" w:eastAsia="宋体" w:cs="宋体"/>
                <w:color w:val="auto"/>
                <w:spacing w:val="-2"/>
                <w:sz w:val="21"/>
                <w:highlight w:val="none"/>
              </w:rPr>
              <w:t xml:space="preserve"> </w:t>
            </w: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B187BC6">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BBE80C">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2639D7E9">
            <w:pPr>
              <w:spacing w:line="232" w:lineRule="auto"/>
              <w:jc w:val="right"/>
              <w:rPr>
                <w:rFonts w:ascii="宋体" w:hAnsi="宋体" w:eastAsia="宋体" w:cs="宋体"/>
                <w:color w:val="auto"/>
                <w:spacing w:val="-2"/>
                <w:sz w:val="21"/>
                <w:highlight w:val="none"/>
              </w:rPr>
            </w:pPr>
          </w:p>
        </w:tc>
      </w:tr>
      <w:tr w14:paraId="34D10FFC">
        <w:tblPrEx>
          <w:tblCellMar>
            <w:top w:w="0" w:type="dxa"/>
            <w:left w:w="0" w:type="dxa"/>
            <w:bottom w:w="0" w:type="dxa"/>
            <w:right w:w="0" w:type="dxa"/>
          </w:tblCellMar>
        </w:tblPrEx>
        <w:trPr>
          <w:trHeight w:val="344"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2592A817">
            <w:pPr>
              <w:spacing w:line="232" w:lineRule="auto"/>
              <w:jc w:val="center"/>
              <w:rPr>
                <w:rFonts w:ascii="宋体" w:hAnsi="宋体" w:eastAsia="宋体" w:cs="宋体"/>
                <w:color w:val="auto"/>
                <w:spacing w:val="-2"/>
                <w:sz w:val="21"/>
                <w:highlight w:val="none"/>
              </w:rPr>
            </w:pP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74570">
            <w:pPr>
              <w:spacing w:line="232" w:lineRule="auto"/>
              <w:jc w:val="center"/>
              <w:rPr>
                <w:rFonts w:ascii="宋体" w:hAnsi="宋体" w:eastAsia="宋体" w:cs="宋体"/>
                <w:color w:val="auto"/>
                <w:spacing w:val="-2"/>
                <w:sz w:val="21"/>
                <w:highlight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C0BD7">
            <w:pPr>
              <w:spacing w:line="232" w:lineRule="auto"/>
              <w:rPr>
                <w:rFonts w:ascii="宋体" w:hAnsi="宋体" w:eastAsia="宋体" w:cs="宋体"/>
                <w:color w:val="auto"/>
                <w:spacing w:val="-2"/>
                <w:sz w:val="21"/>
                <w:highlight w:val="none"/>
              </w:rPr>
            </w:pP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3884F">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13295">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7EDDE">
            <w:pPr>
              <w:spacing w:line="232" w:lineRule="auto"/>
              <w:jc w:val="right"/>
              <w:rPr>
                <w:rFonts w:ascii="宋体" w:hAnsi="宋体" w:eastAsia="宋体" w:cs="宋体"/>
                <w:color w:val="auto"/>
                <w:spacing w:val="-2"/>
                <w:sz w:val="21"/>
                <w:highlight w:val="none"/>
              </w:rPr>
            </w:pP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63F7AD7">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93296B">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00B87AE2">
            <w:pPr>
              <w:spacing w:line="232" w:lineRule="auto"/>
              <w:jc w:val="right"/>
              <w:rPr>
                <w:rFonts w:ascii="宋体" w:hAnsi="宋体" w:eastAsia="宋体" w:cs="宋体"/>
                <w:color w:val="auto"/>
                <w:spacing w:val="-2"/>
                <w:sz w:val="21"/>
                <w:highlight w:val="none"/>
              </w:rPr>
            </w:pPr>
          </w:p>
        </w:tc>
      </w:tr>
      <w:tr w14:paraId="22475320">
        <w:tblPrEx>
          <w:tblCellMar>
            <w:top w:w="0" w:type="dxa"/>
            <w:left w:w="0" w:type="dxa"/>
            <w:bottom w:w="0" w:type="dxa"/>
            <w:right w:w="0" w:type="dxa"/>
          </w:tblCellMar>
        </w:tblPrEx>
        <w:trPr>
          <w:trHeight w:val="329"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1FA5D4F">
            <w:pPr>
              <w:spacing w:line="232" w:lineRule="auto"/>
              <w:jc w:val="center"/>
              <w:rPr>
                <w:rFonts w:ascii="宋体" w:hAnsi="宋体" w:eastAsia="宋体" w:cs="宋体"/>
                <w:color w:val="auto"/>
                <w:spacing w:val="-2"/>
                <w:sz w:val="21"/>
                <w:highlight w:val="none"/>
              </w:rPr>
            </w:pP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2F5A4">
            <w:pPr>
              <w:spacing w:line="232" w:lineRule="auto"/>
              <w:jc w:val="center"/>
              <w:rPr>
                <w:rFonts w:ascii="宋体" w:hAnsi="宋体" w:eastAsia="宋体" w:cs="宋体"/>
                <w:color w:val="auto"/>
                <w:spacing w:val="-2"/>
                <w:sz w:val="21"/>
                <w:highlight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09D5B">
            <w:pPr>
              <w:spacing w:line="232" w:lineRule="auto"/>
              <w:rPr>
                <w:rFonts w:ascii="宋体" w:hAnsi="宋体" w:eastAsia="宋体" w:cs="宋体"/>
                <w:color w:val="auto"/>
                <w:spacing w:val="-2"/>
                <w:sz w:val="21"/>
                <w:highlight w:val="none"/>
              </w:rPr>
            </w:pP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5CCA2">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D3F6B">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EA823">
            <w:pPr>
              <w:spacing w:line="232" w:lineRule="auto"/>
              <w:jc w:val="right"/>
              <w:rPr>
                <w:rFonts w:ascii="宋体" w:hAnsi="宋体" w:eastAsia="宋体" w:cs="宋体"/>
                <w:color w:val="auto"/>
                <w:spacing w:val="-2"/>
                <w:sz w:val="21"/>
                <w:highlight w:val="none"/>
              </w:rPr>
            </w:pP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2DA4CC6">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8FC4FB">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7AFC3CEB">
            <w:pPr>
              <w:spacing w:line="232" w:lineRule="auto"/>
              <w:jc w:val="right"/>
              <w:rPr>
                <w:rFonts w:ascii="宋体" w:hAnsi="宋体" w:eastAsia="宋体" w:cs="宋体"/>
                <w:color w:val="auto"/>
                <w:spacing w:val="-2"/>
                <w:sz w:val="21"/>
                <w:highlight w:val="none"/>
              </w:rPr>
            </w:pPr>
          </w:p>
        </w:tc>
      </w:tr>
      <w:tr w14:paraId="1095CCEB">
        <w:tblPrEx>
          <w:tblCellMar>
            <w:top w:w="0" w:type="dxa"/>
            <w:left w:w="0" w:type="dxa"/>
            <w:bottom w:w="0" w:type="dxa"/>
            <w:right w:w="0" w:type="dxa"/>
          </w:tblCellMar>
        </w:tblPrEx>
        <w:trPr>
          <w:trHeight w:val="344"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5E9092D3">
            <w:pPr>
              <w:spacing w:line="232" w:lineRule="auto"/>
              <w:jc w:val="center"/>
              <w:rPr>
                <w:rFonts w:ascii="宋体" w:hAnsi="宋体" w:eastAsia="宋体" w:cs="宋体"/>
                <w:color w:val="auto"/>
                <w:spacing w:val="-2"/>
                <w:sz w:val="21"/>
                <w:highlight w:val="none"/>
              </w:rPr>
            </w:pP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57EE1">
            <w:pPr>
              <w:spacing w:line="232" w:lineRule="auto"/>
              <w:jc w:val="center"/>
              <w:rPr>
                <w:rFonts w:ascii="宋体" w:hAnsi="宋体" w:eastAsia="宋体" w:cs="宋体"/>
                <w:color w:val="auto"/>
                <w:spacing w:val="-2"/>
                <w:sz w:val="21"/>
                <w:highlight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33EB2">
            <w:pPr>
              <w:spacing w:line="232" w:lineRule="auto"/>
              <w:rPr>
                <w:rFonts w:ascii="宋体" w:hAnsi="宋体" w:eastAsia="宋体" w:cs="宋体"/>
                <w:color w:val="auto"/>
                <w:spacing w:val="-2"/>
                <w:sz w:val="21"/>
                <w:highlight w:val="none"/>
              </w:rPr>
            </w:pP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AD027">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CE09D">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36A16">
            <w:pPr>
              <w:spacing w:line="232" w:lineRule="auto"/>
              <w:jc w:val="right"/>
              <w:rPr>
                <w:rFonts w:ascii="宋体" w:hAnsi="宋体" w:eastAsia="宋体" w:cs="宋体"/>
                <w:color w:val="auto"/>
                <w:spacing w:val="-2"/>
                <w:sz w:val="21"/>
                <w:highlight w:val="none"/>
              </w:rPr>
            </w:pP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A0D2C58">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D4870A">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20FDEBD0">
            <w:pPr>
              <w:spacing w:line="232" w:lineRule="auto"/>
              <w:jc w:val="right"/>
              <w:rPr>
                <w:rFonts w:ascii="宋体" w:hAnsi="宋体" w:eastAsia="宋体" w:cs="宋体"/>
                <w:color w:val="auto"/>
                <w:spacing w:val="-2"/>
                <w:sz w:val="21"/>
                <w:highlight w:val="none"/>
              </w:rPr>
            </w:pPr>
          </w:p>
        </w:tc>
      </w:tr>
      <w:tr w14:paraId="5A9C6236">
        <w:tblPrEx>
          <w:tblCellMar>
            <w:top w:w="0" w:type="dxa"/>
            <w:left w:w="0" w:type="dxa"/>
            <w:bottom w:w="0" w:type="dxa"/>
            <w:right w:w="0" w:type="dxa"/>
          </w:tblCellMar>
        </w:tblPrEx>
        <w:trPr>
          <w:trHeight w:val="344"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288F553D">
            <w:pPr>
              <w:spacing w:line="232" w:lineRule="auto"/>
              <w:jc w:val="center"/>
              <w:rPr>
                <w:rFonts w:ascii="宋体" w:hAnsi="宋体" w:eastAsia="宋体" w:cs="宋体"/>
                <w:color w:val="auto"/>
                <w:spacing w:val="-2"/>
                <w:sz w:val="21"/>
                <w:highlight w:val="none"/>
              </w:rPr>
            </w:pP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243EC">
            <w:pPr>
              <w:spacing w:line="232" w:lineRule="auto"/>
              <w:jc w:val="center"/>
              <w:rPr>
                <w:rFonts w:ascii="宋体" w:hAnsi="宋体" w:eastAsia="宋体" w:cs="宋体"/>
                <w:color w:val="auto"/>
                <w:spacing w:val="-2"/>
                <w:sz w:val="21"/>
                <w:highlight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20B9A">
            <w:pPr>
              <w:spacing w:line="232" w:lineRule="auto"/>
              <w:rPr>
                <w:rFonts w:ascii="宋体" w:hAnsi="宋体" w:eastAsia="宋体" w:cs="宋体"/>
                <w:color w:val="auto"/>
                <w:spacing w:val="-2"/>
                <w:sz w:val="21"/>
                <w:highlight w:val="none"/>
              </w:rPr>
            </w:pP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A07D9">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90696">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28811">
            <w:pPr>
              <w:spacing w:line="232" w:lineRule="auto"/>
              <w:jc w:val="right"/>
              <w:rPr>
                <w:rFonts w:ascii="宋体" w:hAnsi="宋体" w:eastAsia="宋体" w:cs="宋体"/>
                <w:color w:val="auto"/>
                <w:spacing w:val="-2"/>
                <w:sz w:val="21"/>
                <w:highlight w:val="none"/>
              </w:rPr>
            </w:pP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9B15664">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996ECA">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688DC9CE">
            <w:pPr>
              <w:spacing w:line="232" w:lineRule="auto"/>
              <w:jc w:val="right"/>
              <w:rPr>
                <w:rFonts w:ascii="宋体" w:hAnsi="宋体" w:eastAsia="宋体" w:cs="宋体"/>
                <w:color w:val="auto"/>
                <w:spacing w:val="-2"/>
                <w:sz w:val="21"/>
                <w:highlight w:val="none"/>
              </w:rPr>
            </w:pPr>
          </w:p>
        </w:tc>
      </w:tr>
      <w:tr w14:paraId="1B5C56C3">
        <w:tblPrEx>
          <w:tblCellMar>
            <w:top w:w="0" w:type="dxa"/>
            <w:left w:w="0" w:type="dxa"/>
            <w:bottom w:w="0" w:type="dxa"/>
            <w:right w:w="0" w:type="dxa"/>
          </w:tblCellMar>
        </w:tblPrEx>
        <w:trPr>
          <w:trHeight w:val="330"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487BDAE4">
            <w:pPr>
              <w:spacing w:line="232" w:lineRule="auto"/>
              <w:jc w:val="center"/>
              <w:rPr>
                <w:rFonts w:ascii="宋体" w:hAnsi="宋体" w:eastAsia="宋体" w:cs="宋体"/>
                <w:color w:val="auto"/>
                <w:spacing w:val="-2"/>
                <w:sz w:val="21"/>
                <w:highlight w:val="none"/>
              </w:rPr>
            </w:pP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05E12">
            <w:pPr>
              <w:spacing w:line="232" w:lineRule="auto"/>
              <w:jc w:val="center"/>
              <w:rPr>
                <w:rFonts w:ascii="宋体" w:hAnsi="宋体" w:eastAsia="宋体" w:cs="宋体"/>
                <w:color w:val="auto"/>
                <w:spacing w:val="-2"/>
                <w:sz w:val="21"/>
                <w:highlight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5BB08">
            <w:pPr>
              <w:spacing w:line="232" w:lineRule="auto"/>
              <w:rPr>
                <w:rFonts w:ascii="宋体" w:hAnsi="宋体" w:eastAsia="宋体" w:cs="宋体"/>
                <w:color w:val="auto"/>
                <w:spacing w:val="-2"/>
                <w:sz w:val="21"/>
                <w:highlight w:val="none"/>
              </w:rPr>
            </w:pP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56360">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5D914">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E5B1E">
            <w:pPr>
              <w:spacing w:line="232" w:lineRule="auto"/>
              <w:jc w:val="right"/>
              <w:rPr>
                <w:rFonts w:ascii="宋体" w:hAnsi="宋体" w:eastAsia="宋体" w:cs="宋体"/>
                <w:color w:val="auto"/>
                <w:spacing w:val="-2"/>
                <w:sz w:val="21"/>
                <w:highlight w:val="none"/>
              </w:rPr>
            </w:pP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4A5C6EC">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E56911">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39F83AFC">
            <w:pPr>
              <w:spacing w:line="232" w:lineRule="auto"/>
              <w:jc w:val="right"/>
              <w:rPr>
                <w:rFonts w:ascii="宋体" w:hAnsi="宋体" w:eastAsia="宋体" w:cs="宋体"/>
                <w:color w:val="auto"/>
                <w:spacing w:val="-2"/>
                <w:sz w:val="21"/>
                <w:highlight w:val="none"/>
              </w:rPr>
            </w:pPr>
          </w:p>
        </w:tc>
      </w:tr>
      <w:tr w14:paraId="142C75E7">
        <w:tblPrEx>
          <w:tblCellMar>
            <w:top w:w="0" w:type="dxa"/>
            <w:left w:w="0" w:type="dxa"/>
            <w:bottom w:w="0" w:type="dxa"/>
            <w:right w:w="0" w:type="dxa"/>
          </w:tblCellMar>
        </w:tblPrEx>
        <w:trPr>
          <w:trHeight w:val="343"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21FF806B">
            <w:pPr>
              <w:spacing w:line="232" w:lineRule="auto"/>
              <w:jc w:val="center"/>
              <w:rPr>
                <w:rFonts w:ascii="宋体" w:hAnsi="宋体" w:eastAsia="宋体" w:cs="宋体"/>
                <w:color w:val="auto"/>
                <w:spacing w:val="-2"/>
                <w:sz w:val="21"/>
                <w:highlight w:val="none"/>
              </w:rPr>
            </w:pP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4B6C1">
            <w:pPr>
              <w:spacing w:line="232" w:lineRule="auto"/>
              <w:jc w:val="center"/>
              <w:rPr>
                <w:rFonts w:ascii="宋体" w:hAnsi="宋体" w:eastAsia="宋体" w:cs="宋体"/>
                <w:color w:val="auto"/>
                <w:spacing w:val="-2"/>
                <w:sz w:val="21"/>
                <w:highlight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AE026">
            <w:pPr>
              <w:spacing w:line="232" w:lineRule="auto"/>
              <w:rPr>
                <w:rFonts w:ascii="宋体" w:hAnsi="宋体" w:eastAsia="宋体" w:cs="宋体"/>
                <w:color w:val="auto"/>
                <w:spacing w:val="-2"/>
                <w:sz w:val="21"/>
                <w:highlight w:val="none"/>
              </w:rPr>
            </w:pP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33B84">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C14EA">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E0F55">
            <w:pPr>
              <w:spacing w:line="232" w:lineRule="auto"/>
              <w:jc w:val="right"/>
              <w:rPr>
                <w:rFonts w:ascii="宋体" w:hAnsi="宋体" w:eastAsia="宋体" w:cs="宋体"/>
                <w:color w:val="auto"/>
                <w:spacing w:val="-2"/>
                <w:sz w:val="21"/>
                <w:highlight w:val="none"/>
              </w:rPr>
            </w:pP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7C516FE">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22D51A">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019B2596">
            <w:pPr>
              <w:spacing w:line="232" w:lineRule="auto"/>
              <w:jc w:val="right"/>
              <w:rPr>
                <w:rFonts w:ascii="宋体" w:hAnsi="宋体" w:eastAsia="宋体" w:cs="宋体"/>
                <w:color w:val="auto"/>
                <w:spacing w:val="-2"/>
                <w:sz w:val="21"/>
                <w:highlight w:val="none"/>
              </w:rPr>
            </w:pPr>
          </w:p>
        </w:tc>
      </w:tr>
      <w:tr w14:paraId="476670CF">
        <w:tblPrEx>
          <w:tblCellMar>
            <w:top w:w="0" w:type="dxa"/>
            <w:left w:w="0" w:type="dxa"/>
            <w:bottom w:w="0" w:type="dxa"/>
            <w:right w:w="0" w:type="dxa"/>
          </w:tblCellMar>
        </w:tblPrEx>
        <w:trPr>
          <w:trHeight w:val="330"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238A1C9C">
            <w:pPr>
              <w:spacing w:line="232" w:lineRule="auto"/>
              <w:jc w:val="center"/>
              <w:rPr>
                <w:rFonts w:ascii="宋体" w:hAnsi="宋体" w:eastAsia="宋体" w:cs="宋体"/>
                <w:color w:val="auto"/>
                <w:spacing w:val="-2"/>
                <w:sz w:val="21"/>
                <w:highlight w:val="none"/>
              </w:rPr>
            </w:pP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1EE17">
            <w:pPr>
              <w:spacing w:line="232" w:lineRule="auto"/>
              <w:jc w:val="center"/>
              <w:rPr>
                <w:rFonts w:ascii="宋体" w:hAnsi="宋体" w:eastAsia="宋体" w:cs="宋体"/>
                <w:color w:val="auto"/>
                <w:spacing w:val="-2"/>
                <w:sz w:val="21"/>
                <w:highlight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B38DB">
            <w:pPr>
              <w:spacing w:line="232" w:lineRule="auto"/>
              <w:rPr>
                <w:rFonts w:ascii="宋体" w:hAnsi="宋体" w:eastAsia="宋体" w:cs="宋体"/>
                <w:color w:val="auto"/>
                <w:spacing w:val="-2"/>
                <w:sz w:val="21"/>
                <w:highlight w:val="none"/>
              </w:rPr>
            </w:pP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878BE">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68219">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FC2E2">
            <w:pPr>
              <w:spacing w:line="232" w:lineRule="auto"/>
              <w:jc w:val="right"/>
              <w:rPr>
                <w:rFonts w:ascii="宋体" w:hAnsi="宋体" w:eastAsia="宋体" w:cs="宋体"/>
                <w:color w:val="auto"/>
                <w:spacing w:val="-2"/>
                <w:sz w:val="21"/>
                <w:highlight w:val="none"/>
              </w:rPr>
            </w:pP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3CA4955">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F46828">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6E861522">
            <w:pPr>
              <w:spacing w:line="232" w:lineRule="auto"/>
              <w:jc w:val="right"/>
              <w:rPr>
                <w:rFonts w:ascii="宋体" w:hAnsi="宋体" w:eastAsia="宋体" w:cs="宋体"/>
                <w:color w:val="auto"/>
                <w:spacing w:val="-2"/>
                <w:sz w:val="21"/>
                <w:highlight w:val="none"/>
              </w:rPr>
            </w:pPr>
          </w:p>
        </w:tc>
      </w:tr>
      <w:tr w14:paraId="6E62AFF5">
        <w:tblPrEx>
          <w:tblCellMar>
            <w:top w:w="0" w:type="dxa"/>
            <w:left w:w="0" w:type="dxa"/>
            <w:bottom w:w="0" w:type="dxa"/>
            <w:right w:w="0" w:type="dxa"/>
          </w:tblCellMar>
        </w:tblPrEx>
        <w:trPr>
          <w:trHeight w:val="344"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6EC8AC4F">
            <w:pPr>
              <w:spacing w:line="232" w:lineRule="auto"/>
              <w:jc w:val="center"/>
              <w:rPr>
                <w:rFonts w:ascii="宋体" w:hAnsi="宋体" w:eastAsia="宋体" w:cs="宋体"/>
                <w:color w:val="auto"/>
                <w:spacing w:val="-2"/>
                <w:sz w:val="21"/>
                <w:highlight w:val="none"/>
              </w:rPr>
            </w:pP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2E322">
            <w:pPr>
              <w:spacing w:line="232" w:lineRule="auto"/>
              <w:jc w:val="center"/>
              <w:rPr>
                <w:rFonts w:ascii="宋体" w:hAnsi="宋体" w:eastAsia="宋体" w:cs="宋体"/>
                <w:color w:val="auto"/>
                <w:spacing w:val="-2"/>
                <w:sz w:val="21"/>
                <w:highlight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D274D">
            <w:pPr>
              <w:spacing w:line="232" w:lineRule="auto"/>
              <w:rPr>
                <w:rFonts w:ascii="宋体" w:hAnsi="宋体" w:eastAsia="宋体" w:cs="宋体"/>
                <w:color w:val="auto"/>
                <w:spacing w:val="-2"/>
                <w:sz w:val="21"/>
                <w:highlight w:val="none"/>
              </w:rPr>
            </w:pP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B65E6">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BA6DD">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87230">
            <w:pPr>
              <w:spacing w:line="232" w:lineRule="auto"/>
              <w:jc w:val="right"/>
              <w:rPr>
                <w:rFonts w:ascii="宋体" w:hAnsi="宋体" w:eastAsia="宋体" w:cs="宋体"/>
                <w:color w:val="auto"/>
                <w:spacing w:val="-2"/>
                <w:sz w:val="21"/>
                <w:highlight w:val="none"/>
              </w:rPr>
            </w:pP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65FCBE8">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76EB4B">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77A867C7">
            <w:pPr>
              <w:spacing w:line="232" w:lineRule="auto"/>
              <w:jc w:val="right"/>
              <w:rPr>
                <w:rFonts w:ascii="宋体" w:hAnsi="宋体" w:eastAsia="宋体" w:cs="宋体"/>
                <w:color w:val="auto"/>
                <w:spacing w:val="-2"/>
                <w:sz w:val="21"/>
                <w:highlight w:val="none"/>
              </w:rPr>
            </w:pPr>
          </w:p>
        </w:tc>
      </w:tr>
      <w:tr w14:paraId="6B6C6E3C">
        <w:tblPrEx>
          <w:tblCellMar>
            <w:top w:w="0" w:type="dxa"/>
            <w:left w:w="0" w:type="dxa"/>
            <w:bottom w:w="0" w:type="dxa"/>
            <w:right w:w="0" w:type="dxa"/>
          </w:tblCellMar>
        </w:tblPrEx>
        <w:trPr>
          <w:trHeight w:val="344"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4BE54539">
            <w:pPr>
              <w:spacing w:line="232" w:lineRule="auto"/>
              <w:jc w:val="center"/>
              <w:rPr>
                <w:rFonts w:ascii="宋体" w:hAnsi="宋体" w:eastAsia="宋体" w:cs="宋体"/>
                <w:color w:val="auto"/>
                <w:spacing w:val="-2"/>
                <w:sz w:val="21"/>
                <w:highlight w:val="none"/>
              </w:rPr>
            </w:pP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D9B85">
            <w:pPr>
              <w:spacing w:line="232" w:lineRule="auto"/>
              <w:jc w:val="center"/>
              <w:rPr>
                <w:rFonts w:ascii="宋体" w:hAnsi="宋体" w:eastAsia="宋体" w:cs="宋体"/>
                <w:color w:val="auto"/>
                <w:spacing w:val="-2"/>
                <w:sz w:val="21"/>
                <w:highlight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7E220">
            <w:pPr>
              <w:spacing w:line="232" w:lineRule="auto"/>
              <w:rPr>
                <w:rFonts w:ascii="宋体" w:hAnsi="宋体" w:eastAsia="宋体" w:cs="宋体"/>
                <w:color w:val="auto"/>
                <w:spacing w:val="-2"/>
                <w:sz w:val="21"/>
                <w:highlight w:val="none"/>
              </w:rPr>
            </w:pP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0C71E">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10D06">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0390A">
            <w:pPr>
              <w:spacing w:line="232" w:lineRule="auto"/>
              <w:jc w:val="right"/>
              <w:rPr>
                <w:rFonts w:ascii="宋体" w:hAnsi="宋体" w:eastAsia="宋体" w:cs="宋体"/>
                <w:color w:val="auto"/>
                <w:spacing w:val="-2"/>
                <w:sz w:val="21"/>
                <w:highlight w:val="none"/>
              </w:rPr>
            </w:pP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AE6CAAC">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27BC21">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7B3112B7">
            <w:pPr>
              <w:spacing w:line="232" w:lineRule="auto"/>
              <w:jc w:val="right"/>
              <w:rPr>
                <w:rFonts w:ascii="宋体" w:hAnsi="宋体" w:eastAsia="宋体" w:cs="宋体"/>
                <w:color w:val="auto"/>
                <w:spacing w:val="-2"/>
                <w:sz w:val="21"/>
                <w:highlight w:val="none"/>
              </w:rPr>
            </w:pPr>
          </w:p>
        </w:tc>
      </w:tr>
      <w:tr w14:paraId="02BDFBA3">
        <w:tblPrEx>
          <w:tblCellMar>
            <w:top w:w="0" w:type="dxa"/>
            <w:left w:w="0" w:type="dxa"/>
            <w:bottom w:w="0" w:type="dxa"/>
            <w:right w:w="0" w:type="dxa"/>
          </w:tblCellMar>
        </w:tblPrEx>
        <w:trPr>
          <w:trHeight w:val="329"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2283CDBC">
            <w:pPr>
              <w:spacing w:line="232" w:lineRule="auto"/>
              <w:jc w:val="center"/>
              <w:rPr>
                <w:rFonts w:ascii="宋体" w:hAnsi="宋体" w:eastAsia="宋体" w:cs="宋体"/>
                <w:color w:val="auto"/>
                <w:spacing w:val="-2"/>
                <w:sz w:val="21"/>
                <w:highlight w:val="none"/>
              </w:rPr>
            </w:pP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9B976">
            <w:pPr>
              <w:spacing w:line="232" w:lineRule="auto"/>
              <w:jc w:val="center"/>
              <w:rPr>
                <w:rFonts w:ascii="宋体" w:hAnsi="宋体" w:eastAsia="宋体" w:cs="宋体"/>
                <w:color w:val="auto"/>
                <w:spacing w:val="-2"/>
                <w:sz w:val="21"/>
                <w:highlight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F998E">
            <w:pPr>
              <w:spacing w:line="232" w:lineRule="auto"/>
              <w:rPr>
                <w:rFonts w:ascii="宋体" w:hAnsi="宋体" w:eastAsia="宋体" w:cs="宋体"/>
                <w:color w:val="auto"/>
                <w:spacing w:val="-2"/>
                <w:sz w:val="21"/>
                <w:highlight w:val="none"/>
              </w:rPr>
            </w:pP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B84CC">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A0B3B">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D6B60">
            <w:pPr>
              <w:spacing w:line="232" w:lineRule="auto"/>
              <w:jc w:val="right"/>
              <w:rPr>
                <w:rFonts w:ascii="宋体" w:hAnsi="宋体" w:eastAsia="宋体" w:cs="宋体"/>
                <w:color w:val="auto"/>
                <w:spacing w:val="-2"/>
                <w:sz w:val="21"/>
                <w:highlight w:val="none"/>
              </w:rPr>
            </w:pP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3ABA4E6">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6A1D54">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77453194">
            <w:pPr>
              <w:spacing w:line="232" w:lineRule="auto"/>
              <w:jc w:val="right"/>
              <w:rPr>
                <w:rFonts w:ascii="宋体" w:hAnsi="宋体" w:eastAsia="宋体" w:cs="宋体"/>
                <w:color w:val="auto"/>
                <w:spacing w:val="-2"/>
                <w:sz w:val="21"/>
                <w:highlight w:val="none"/>
              </w:rPr>
            </w:pPr>
          </w:p>
        </w:tc>
      </w:tr>
      <w:tr w14:paraId="77B43848">
        <w:tblPrEx>
          <w:tblCellMar>
            <w:top w:w="0" w:type="dxa"/>
            <w:left w:w="0" w:type="dxa"/>
            <w:bottom w:w="0" w:type="dxa"/>
            <w:right w:w="0" w:type="dxa"/>
          </w:tblCellMar>
        </w:tblPrEx>
        <w:trPr>
          <w:trHeight w:val="344"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5130508A">
            <w:pPr>
              <w:spacing w:line="232" w:lineRule="auto"/>
              <w:jc w:val="center"/>
              <w:rPr>
                <w:rFonts w:ascii="宋体" w:hAnsi="宋体" w:eastAsia="宋体" w:cs="宋体"/>
                <w:color w:val="auto"/>
                <w:spacing w:val="-2"/>
                <w:sz w:val="21"/>
                <w:highlight w:val="none"/>
              </w:rPr>
            </w:pP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6FCD5">
            <w:pPr>
              <w:spacing w:line="232" w:lineRule="auto"/>
              <w:jc w:val="center"/>
              <w:rPr>
                <w:rFonts w:ascii="宋体" w:hAnsi="宋体" w:eastAsia="宋体" w:cs="宋体"/>
                <w:color w:val="auto"/>
                <w:spacing w:val="-2"/>
                <w:sz w:val="21"/>
                <w:highlight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6A374">
            <w:pPr>
              <w:spacing w:line="232" w:lineRule="auto"/>
              <w:rPr>
                <w:rFonts w:ascii="宋体" w:hAnsi="宋体" w:eastAsia="宋体" w:cs="宋体"/>
                <w:color w:val="auto"/>
                <w:spacing w:val="-2"/>
                <w:sz w:val="21"/>
                <w:highlight w:val="none"/>
              </w:rPr>
            </w:pP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0E915">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8A03B">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A5B59">
            <w:pPr>
              <w:spacing w:line="232" w:lineRule="auto"/>
              <w:jc w:val="right"/>
              <w:rPr>
                <w:rFonts w:ascii="宋体" w:hAnsi="宋体" w:eastAsia="宋体" w:cs="宋体"/>
                <w:color w:val="auto"/>
                <w:spacing w:val="-2"/>
                <w:sz w:val="21"/>
                <w:highlight w:val="none"/>
              </w:rPr>
            </w:pP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3CE3FF5">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ED68C4">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15A57386">
            <w:pPr>
              <w:spacing w:line="232" w:lineRule="auto"/>
              <w:jc w:val="right"/>
              <w:rPr>
                <w:rFonts w:ascii="宋体" w:hAnsi="宋体" w:eastAsia="宋体" w:cs="宋体"/>
                <w:color w:val="auto"/>
                <w:spacing w:val="-2"/>
                <w:sz w:val="21"/>
                <w:highlight w:val="none"/>
              </w:rPr>
            </w:pPr>
          </w:p>
        </w:tc>
      </w:tr>
      <w:tr w14:paraId="074DC643">
        <w:tblPrEx>
          <w:tblCellMar>
            <w:top w:w="0" w:type="dxa"/>
            <w:left w:w="0" w:type="dxa"/>
            <w:bottom w:w="0" w:type="dxa"/>
            <w:right w:w="0" w:type="dxa"/>
          </w:tblCellMar>
        </w:tblPrEx>
        <w:trPr>
          <w:trHeight w:val="344"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657F0F97">
            <w:pPr>
              <w:spacing w:line="232" w:lineRule="auto"/>
              <w:jc w:val="center"/>
              <w:rPr>
                <w:rFonts w:ascii="宋体" w:hAnsi="宋体" w:eastAsia="宋体" w:cs="宋体"/>
                <w:color w:val="auto"/>
                <w:spacing w:val="-2"/>
                <w:sz w:val="21"/>
                <w:highlight w:val="none"/>
              </w:rPr>
            </w:pP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7270A">
            <w:pPr>
              <w:spacing w:line="232" w:lineRule="auto"/>
              <w:jc w:val="center"/>
              <w:rPr>
                <w:rFonts w:ascii="宋体" w:hAnsi="宋体" w:eastAsia="宋体" w:cs="宋体"/>
                <w:color w:val="auto"/>
                <w:spacing w:val="-2"/>
                <w:sz w:val="21"/>
                <w:highlight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BBFB8">
            <w:pPr>
              <w:spacing w:line="232" w:lineRule="auto"/>
              <w:rPr>
                <w:rFonts w:ascii="宋体" w:hAnsi="宋体" w:eastAsia="宋体" w:cs="宋体"/>
                <w:color w:val="auto"/>
                <w:spacing w:val="-2"/>
                <w:sz w:val="21"/>
                <w:highlight w:val="none"/>
              </w:rPr>
            </w:pP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590D7">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78C89">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61B62">
            <w:pPr>
              <w:spacing w:line="232" w:lineRule="auto"/>
              <w:jc w:val="right"/>
              <w:rPr>
                <w:rFonts w:ascii="宋体" w:hAnsi="宋体" w:eastAsia="宋体" w:cs="宋体"/>
                <w:color w:val="auto"/>
                <w:spacing w:val="-2"/>
                <w:sz w:val="21"/>
                <w:highlight w:val="none"/>
              </w:rPr>
            </w:pP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DF4B5CC">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5102F4">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55A90B23">
            <w:pPr>
              <w:spacing w:line="232" w:lineRule="auto"/>
              <w:jc w:val="right"/>
              <w:rPr>
                <w:rFonts w:ascii="宋体" w:hAnsi="宋体" w:eastAsia="宋体" w:cs="宋体"/>
                <w:color w:val="auto"/>
                <w:spacing w:val="-2"/>
                <w:sz w:val="21"/>
                <w:highlight w:val="none"/>
              </w:rPr>
            </w:pPr>
          </w:p>
        </w:tc>
      </w:tr>
      <w:tr w14:paraId="10A1654F">
        <w:tblPrEx>
          <w:tblCellMar>
            <w:top w:w="0" w:type="dxa"/>
            <w:left w:w="0" w:type="dxa"/>
            <w:bottom w:w="0" w:type="dxa"/>
            <w:right w:w="0" w:type="dxa"/>
          </w:tblCellMar>
        </w:tblPrEx>
        <w:trPr>
          <w:trHeight w:val="330"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51A94CB1">
            <w:pPr>
              <w:spacing w:line="232" w:lineRule="auto"/>
              <w:jc w:val="center"/>
              <w:rPr>
                <w:rFonts w:ascii="宋体" w:hAnsi="宋体" w:eastAsia="宋体" w:cs="宋体"/>
                <w:color w:val="auto"/>
                <w:spacing w:val="-2"/>
                <w:sz w:val="21"/>
                <w:highlight w:val="none"/>
              </w:rPr>
            </w:pP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C3A29">
            <w:pPr>
              <w:spacing w:line="232" w:lineRule="auto"/>
              <w:jc w:val="center"/>
              <w:rPr>
                <w:rFonts w:ascii="宋体" w:hAnsi="宋体" w:eastAsia="宋体" w:cs="宋体"/>
                <w:color w:val="auto"/>
                <w:spacing w:val="-2"/>
                <w:sz w:val="21"/>
                <w:highlight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6D50B">
            <w:pPr>
              <w:spacing w:line="232" w:lineRule="auto"/>
              <w:rPr>
                <w:rFonts w:ascii="宋体" w:hAnsi="宋体" w:eastAsia="宋体" w:cs="宋体"/>
                <w:color w:val="auto"/>
                <w:spacing w:val="-2"/>
                <w:sz w:val="21"/>
                <w:highlight w:val="none"/>
              </w:rPr>
            </w:pP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93032">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D6AE3">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B6010">
            <w:pPr>
              <w:spacing w:line="232" w:lineRule="auto"/>
              <w:jc w:val="right"/>
              <w:rPr>
                <w:rFonts w:ascii="宋体" w:hAnsi="宋体" w:eastAsia="宋体" w:cs="宋体"/>
                <w:color w:val="auto"/>
                <w:spacing w:val="-2"/>
                <w:sz w:val="21"/>
                <w:highlight w:val="none"/>
              </w:rPr>
            </w:pP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FED942B">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CFA8EF">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743166A4">
            <w:pPr>
              <w:spacing w:line="232" w:lineRule="auto"/>
              <w:jc w:val="right"/>
              <w:rPr>
                <w:rFonts w:ascii="宋体" w:hAnsi="宋体" w:eastAsia="宋体" w:cs="宋体"/>
                <w:color w:val="auto"/>
                <w:spacing w:val="-2"/>
                <w:sz w:val="21"/>
                <w:highlight w:val="none"/>
              </w:rPr>
            </w:pPr>
          </w:p>
        </w:tc>
      </w:tr>
      <w:tr w14:paraId="350D0C3C">
        <w:tblPrEx>
          <w:tblCellMar>
            <w:top w:w="0" w:type="dxa"/>
            <w:left w:w="0" w:type="dxa"/>
            <w:bottom w:w="0" w:type="dxa"/>
            <w:right w:w="0" w:type="dxa"/>
          </w:tblCellMar>
        </w:tblPrEx>
        <w:trPr>
          <w:trHeight w:val="343"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7821D2CB">
            <w:pPr>
              <w:spacing w:line="232" w:lineRule="auto"/>
              <w:jc w:val="center"/>
              <w:rPr>
                <w:rFonts w:ascii="宋体" w:hAnsi="宋体" w:eastAsia="宋体" w:cs="宋体"/>
                <w:color w:val="auto"/>
                <w:spacing w:val="-2"/>
                <w:sz w:val="21"/>
                <w:highlight w:val="none"/>
              </w:rPr>
            </w:pP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DABBC">
            <w:pPr>
              <w:spacing w:line="232" w:lineRule="auto"/>
              <w:jc w:val="center"/>
              <w:rPr>
                <w:rFonts w:ascii="宋体" w:hAnsi="宋体" w:eastAsia="宋体" w:cs="宋体"/>
                <w:color w:val="auto"/>
                <w:spacing w:val="-2"/>
                <w:sz w:val="21"/>
                <w:highlight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ED401">
            <w:pPr>
              <w:spacing w:line="232" w:lineRule="auto"/>
              <w:rPr>
                <w:rFonts w:ascii="宋体" w:hAnsi="宋体" w:eastAsia="宋体" w:cs="宋体"/>
                <w:color w:val="auto"/>
                <w:spacing w:val="-2"/>
                <w:sz w:val="21"/>
                <w:highlight w:val="none"/>
              </w:rPr>
            </w:pP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7F7FF">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F50F0">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E9BC0">
            <w:pPr>
              <w:spacing w:line="232" w:lineRule="auto"/>
              <w:jc w:val="right"/>
              <w:rPr>
                <w:rFonts w:ascii="宋体" w:hAnsi="宋体" w:eastAsia="宋体" w:cs="宋体"/>
                <w:color w:val="auto"/>
                <w:spacing w:val="-2"/>
                <w:sz w:val="21"/>
                <w:highlight w:val="none"/>
              </w:rPr>
            </w:pP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D66FBFE">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49D68B">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1D57BCB6">
            <w:pPr>
              <w:spacing w:line="232" w:lineRule="auto"/>
              <w:jc w:val="right"/>
              <w:rPr>
                <w:rFonts w:ascii="宋体" w:hAnsi="宋体" w:eastAsia="宋体" w:cs="宋体"/>
                <w:color w:val="auto"/>
                <w:spacing w:val="-2"/>
                <w:sz w:val="21"/>
                <w:highlight w:val="none"/>
              </w:rPr>
            </w:pPr>
          </w:p>
        </w:tc>
      </w:tr>
      <w:tr w14:paraId="067C3D79">
        <w:tblPrEx>
          <w:tblCellMar>
            <w:top w:w="0" w:type="dxa"/>
            <w:left w:w="0" w:type="dxa"/>
            <w:bottom w:w="0" w:type="dxa"/>
            <w:right w:w="0" w:type="dxa"/>
          </w:tblCellMar>
        </w:tblPrEx>
        <w:trPr>
          <w:trHeight w:val="330"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720F975F">
            <w:pPr>
              <w:spacing w:line="232" w:lineRule="auto"/>
              <w:jc w:val="center"/>
              <w:rPr>
                <w:rFonts w:ascii="宋体" w:hAnsi="宋体" w:eastAsia="宋体" w:cs="宋体"/>
                <w:color w:val="auto"/>
                <w:spacing w:val="-2"/>
                <w:sz w:val="21"/>
                <w:highlight w:val="none"/>
              </w:rPr>
            </w:pP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D943A">
            <w:pPr>
              <w:spacing w:line="232" w:lineRule="auto"/>
              <w:jc w:val="center"/>
              <w:rPr>
                <w:rFonts w:ascii="宋体" w:hAnsi="宋体" w:eastAsia="宋体" w:cs="宋体"/>
                <w:color w:val="auto"/>
                <w:spacing w:val="-2"/>
                <w:sz w:val="21"/>
                <w:highlight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06139">
            <w:pPr>
              <w:spacing w:line="232" w:lineRule="auto"/>
              <w:rPr>
                <w:rFonts w:ascii="宋体" w:hAnsi="宋体" w:eastAsia="宋体" w:cs="宋体"/>
                <w:color w:val="auto"/>
                <w:spacing w:val="-2"/>
                <w:sz w:val="21"/>
                <w:highlight w:val="none"/>
              </w:rPr>
            </w:pP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DD4CC">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0596B">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10915">
            <w:pPr>
              <w:spacing w:line="232" w:lineRule="auto"/>
              <w:jc w:val="right"/>
              <w:rPr>
                <w:rFonts w:ascii="宋体" w:hAnsi="宋体" w:eastAsia="宋体" w:cs="宋体"/>
                <w:color w:val="auto"/>
                <w:spacing w:val="-2"/>
                <w:sz w:val="21"/>
                <w:highlight w:val="none"/>
              </w:rPr>
            </w:pP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E0AC6C9">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11D803">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1F9A539A">
            <w:pPr>
              <w:spacing w:line="232" w:lineRule="auto"/>
              <w:jc w:val="right"/>
              <w:rPr>
                <w:rFonts w:ascii="宋体" w:hAnsi="宋体" w:eastAsia="宋体" w:cs="宋体"/>
                <w:color w:val="auto"/>
                <w:spacing w:val="-2"/>
                <w:sz w:val="21"/>
                <w:highlight w:val="none"/>
              </w:rPr>
            </w:pPr>
          </w:p>
        </w:tc>
      </w:tr>
      <w:tr w14:paraId="6E109031">
        <w:tblPrEx>
          <w:tblCellMar>
            <w:top w:w="0" w:type="dxa"/>
            <w:left w:w="0" w:type="dxa"/>
            <w:bottom w:w="0" w:type="dxa"/>
            <w:right w:w="0" w:type="dxa"/>
          </w:tblCellMar>
        </w:tblPrEx>
        <w:trPr>
          <w:trHeight w:val="344"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4B5EA8D5">
            <w:pPr>
              <w:spacing w:line="232" w:lineRule="auto"/>
              <w:jc w:val="center"/>
              <w:rPr>
                <w:rFonts w:ascii="宋体" w:hAnsi="宋体" w:eastAsia="宋体" w:cs="宋体"/>
                <w:color w:val="auto"/>
                <w:spacing w:val="-2"/>
                <w:sz w:val="21"/>
                <w:highlight w:val="none"/>
              </w:rPr>
            </w:pP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D084E">
            <w:pPr>
              <w:spacing w:line="232" w:lineRule="auto"/>
              <w:jc w:val="center"/>
              <w:rPr>
                <w:rFonts w:ascii="宋体" w:hAnsi="宋体" w:eastAsia="宋体" w:cs="宋体"/>
                <w:color w:val="auto"/>
                <w:spacing w:val="-2"/>
                <w:sz w:val="21"/>
                <w:highlight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6ABB4">
            <w:pPr>
              <w:spacing w:line="232" w:lineRule="auto"/>
              <w:rPr>
                <w:rFonts w:ascii="宋体" w:hAnsi="宋体" w:eastAsia="宋体" w:cs="宋体"/>
                <w:color w:val="auto"/>
                <w:spacing w:val="-2"/>
                <w:sz w:val="21"/>
                <w:highlight w:val="none"/>
              </w:rPr>
            </w:pP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DC03A">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59B32">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6E541">
            <w:pPr>
              <w:spacing w:line="232" w:lineRule="auto"/>
              <w:jc w:val="right"/>
              <w:rPr>
                <w:rFonts w:ascii="宋体" w:hAnsi="宋体" w:eastAsia="宋体" w:cs="宋体"/>
                <w:color w:val="auto"/>
                <w:spacing w:val="-2"/>
                <w:sz w:val="21"/>
                <w:highlight w:val="none"/>
              </w:rPr>
            </w:pP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A643FB">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5115D8">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19DA1CF8">
            <w:pPr>
              <w:spacing w:line="232" w:lineRule="auto"/>
              <w:jc w:val="right"/>
              <w:rPr>
                <w:rFonts w:ascii="宋体" w:hAnsi="宋体" w:eastAsia="宋体" w:cs="宋体"/>
                <w:color w:val="auto"/>
                <w:spacing w:val="-2"/>
                <w:sz w:val="21"/>
                <w:highlight w:val="none"/>
              </w:rPr>
            </w:pPr>
          </w:p>
        </w:tc>
      </w:tr>
      <w:tr w14:paraId="2783FD8C">
        <w:tblPrEx>
          <w:tblCellMar>
            <w:top w:w="0" w:type="dxa"/>
            <w:left w:w="0" w:type="dxa"/>
            <w:bottom w:w="0" w:type="dxa"/>
            <w:right w:w="0" w:type="dxa"/>
          </w:tblCellMar>
        </w:tblPrEx>
        <w:trPr>
          <w:trHeight w:val="330"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2CB6A399">
            <w:pPr>
              <w:spacing w:line="232" w:lineRule="auto"/>
              <w:jc w:val="center"/>
              <w:rPr>
                <w:rFonts w:ascii="宋体" w:hAnsi="宋体" w:eastAsia="宋体" w:cs="宋体"/>
                <w:color w:val="auto"/>
                <w:spacing w:val="-2"/>
                <w:sz w:val="21"/>
                <w:highlight w:val="none"/>
              </w:rPr>
            </w:pP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CF125">
            <w:pPr>
              <w:spacing w:line="232" w:lineRule="auto"/>
              <w:jc w:val="center"/>
              <w:rPr>
                <w:rFonts w:ascii="宋体" w:hAnsi="宋体" w:eastAsia="宋体" w:cs="宋体"/>
                <w:color w:val="auto"/>
                <w:spacing w:val="-2"/>
                <w:sz w:val="21"/>
                <w:highlight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AA661">
            <w:pPr>
              <w:spacing w:line="232" w:lineRule="auto"/>
              <w:rPr>
                <w:rFonts w:ascii="宋体" w:hAnsi="宋体" w:eastAsia="宋体" w:cs="宋体"/>
                <w:color w:val="auto"/>
                <w:spacing w:val="-2"/>
                <w:sz w:val="21"/>
                <w:highlight w:val="none"/>
              </w:rPr>
            </w:pP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43611">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5F944">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9B5A7">
            <w:pPr>
              <w:spacing w:line="232" w:lineRule="auto"/>
              <w:jc w:val="right"/>
              <w:rPr>
                <w:rFonts w:ascii="宋体" w:hAnsi="宋体" w:eastAsia="宋体" w:cs="宋体"/>
                <w:color w:val="auto"/>
                <w:spacing w:val="-2"/>
                <w:sz w:val="21"/>
                <w:highlight w:val="none"/>
              </w:rPr>
            </w:pP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6B7858A">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BDA165">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79987CF5">
            <w:pPr>
              <w:spacing w:line="232" w:lineRule="auto"/>
              <w:jc w:val="right"/>
              <w:rPr>
                <w:rFonts w:ascii="宋体" w:hAnsi="宋体" w:eastAsia="宋体" w:cs="宋体"/>
                <w:color w:val="auto"/>
                <w:spacing w:val="-2"/>
                <w:sz w:val="21"/>
                <w:highlight w:val="none"/>
              </w:rPr>
            </w:pPr>
          </w:p>
        </w:tc>
      </w:tr>
      <w:tr w14:paraId="7C3D2285">
        <w:tblPrEx>
          <w:tblCellMar>
            <w:top w:w="0" w:type="dxa"/>
            <w:left w:w="0" w:type="dxa"/>
            <w:bottom w:w="0" w:type="dxa"/>
            <w:right w:w="0" w:type="dxa"/>
          </w:tblCellMar>
        </w:tblPrEx>
        <w:trPr>
          <w:trHeight w:val="344"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7B67A154">
            <w:pPr>
              <w:spacing w:line="232" w:lineRule="auto"/>
              <w:jc w:val="center"/>
              <w:rPr>
                <w:rFonts w:ascii="宋体" w:hAnsi="宋体" w:eastAsia="宋体" w:cs="宋体"/>
                <w:color w:val="auto"/>
                <w:spacing w:val="-2"/>
                <w:sz w:val="21"/>
                <w:highlight w:val="none"/>
              </w:rPr>
            </w:pP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E99E3">
            <w:pPr>
              <w:spacing w:line="232" w:lineRule="auto"/>
              <w:jc w:val="center"/>
              <w:rPr>
                <w:rFonts w:ascii="宋体" w:hAnsi="宋体" w:eastAsia="宋体" w:cs="宋体"/>
                <w:color w:val="auto"/>
                <w:spacing w:val="-2"/>
                <w:sz w:val="21"/>
                <w:highlight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0870C">
            <w:pPr>
              <w:spacing w:line="232" w:lineRule="auto"/>
              <w:rPr>
                <w:rFonts w:ascii="宋体" w:hAnsi="宋体" w:eastAsia="宋体" w:cs="宋体"/>
                <w:color w:val="auto"/>
                <w:spacing w:val="-2"/>
                <w:sz w:val="21"/>
                <w:highlight w:val="none"/>
              </w:rPr>
            </w:pP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54FB2">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1B1BC">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E5DD4">
            <w:pPr>
              <w:spacing w:line="232" w:lineRule="auto"/>
              <w:jc w:val="right"/>
              <w:rPr>
                <w:rFonts w:ascii="宋体" w:hAnsi="宋体" w:eastAsia="宋体" w:cs="宋体"/>
                <w:color w:val="auto"/>
                <w:spacing w:val="-2"/>
                <w:sz w:val="21"/>
                <w:highlight w:val="none"/>
              </w:rPr>
            </w:pP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F11E44F">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E25D31">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1CB435E5">
            <w:pPr>
              <w:spacing w:line="232" w:lineRule="auto"/>
              <w:jc w:val="right"/>
              <w:rPr>
                <w:rFonts w:ascii="宋体" w:hAnsi="宋体" w:eastAsia="宋体" w:cs="宋体"/>
                <w:color w:val="auto"/>
                <w:spacing w:val="-2"/>
                <w:sz w:val="21"/>
                <w:highlight w:val="none"/>
              </w:rPr>
            </w:pPr>
          </w:p>
        </w:tc>
      </w:tr>
      <w:tr w14:paraId="2B234609">
        <w:tblPrEx>
          <w:tblCellMar>
            <w:top w:w="0" w:type="dxa"/>
            <w:left w:w="0" w:type="dxa"/>
            <w:bottom w:w="0" w:type="dxa"/>
            <w:right w:w="0" w:type="dxa"/>
          </w:tblCellMar>
        </w:tblPrEx>
        <w:trPr>
          <w:trHeight w:val="344"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6A1956BE">
            <w:pPr>
              <w:spacing w:line="232" w:lineRule="auto"/>
              <w:jc w:val="center"/>
              <w:rPr>
                <w:rFonts w:ascii="宋体" w:hAnsi="宋体" w:eastAsia="宋体" w:cs="宋体"/>
                <w:color w:val="auto"/>
                <w:spacing w:val="-2"/>
                <w:sz w:val="21"/>
                <w:highlight w:val="none"/>
              </w:rPr>
            </w:pP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A59AC">
            <w:pPr>
              <w:spacing w:line="232" w:lineRule="auto"/>
              <w:jc w:val="center"/>
              <w:rPr>
                <w:rFonts w:ascii="宋体" w:hAnsi="宋体" w:eastAsia="宋体" w:cs="宋体"/>
                <w:color w:val="auto"/>
                <w:spacing w:val="-2"/>
                <w:sz w:val="21"/>
                <w:highlight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ED05A">
            <w:pPr>
              <w:spacing w:line="232" w:lineRule="auto"/>
              <w:rPr>
                <w:rFonts w:ascii="宋体" w:hAnsi="宋体" w:eastAsia="宋体" w:cs="宋体"/>
                <w:color w:val="auto"/>
                <w:spacing w:val="-2"/>
                <w:sz w:val="21"/>
                <w:highlight w:val="none"/>
              </w:rPr>
            </w:pP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103ED">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1CAA1">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3148B">
            <w:pPr>
              <w:spacing w:line="232" w:lineRule="auto"/>
              <w:jc w:val="right"/>
              <w:rPr>
                <w:rFonts w:ascii="宋体" w:hAnsi="宋体" w:eastAsia="宋体" w:cs="宋体"/>
                <w:color w:val="auto"/>
                <w:spacing w:val="-2"/>
                <w:sz w:val="21"/>
                <w:highlight w:val="none"/>
              </w:rPr>
            </w:pP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848B0DB">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43CB05">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78CEF1E1">
            <w:pPr>
              <w:spacing w:line="232" w:lineRule="auto"/>
              <w:jc w:val="right"/>
              <w:rPr>
                <w:rFonts w:ascii="宋体" w:hAnsi="宋体" w:eastAsia="宋体" w:cs="宋体"/>
                <w:color w:val="auto"/>
                <w:spacing w:val="-2"/>
                <w:sz w:val="21"/>
                <w:highlight w:val="none"/>
              </w:rPr>
            </w:pPr>
          </w:p>
        </w:tc>
      </w:tr>
      <w:tr w14:paraId="23580384">
        <w:tblPrEx>
          <w:tblCellMar>
            <w:top w:w="0" w:type="dxa"/>
            <w:left w:w="0" w:type="dxa"/>
            <w:bottom w:w="0" w:type="dxa"/>
            <w:right w:w="0" w:type="dxa"/>
          </w:tblCellMar>
        </w:tblPrEx>
        <w:trPr>
          <w:trHeight w:val="329"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30D8088F">
            <w:pPr>
              <w:spacing w:line="232" w:lineRule="auto"/>
              <w:jc w:val="center"/>
              <w:rPr>
                <w:rFonts w:ascii="宋体" w:hAnsi="宋体" w:eastAsia="宋体" w:cs="宋体"/>
                <w:color w:val="auto"/>
                <w:spacing w:val="-2"/>
                <w:sz w:val="21"/>
                <w:highlight w:val="none"/>
              </w:rPr>
            </w:pP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0BF87">
            <w:pPr>
              <w:spacing w:line="232" w:lineRule="auto"/>
              <w:jc w:val="center"/>
              <w:rPr>
                <w:rFonts w:ascii="宋体" w:hAnsi="宋体" w:eastAsia="宋体" w:cs="宋体"/>
                <w:color w:val="auto"/>
                <w:spacing w:val="-2"/>
                <w:sz w:val="21"/>
                <w:highlight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1E7B5">
            <w:pPr>
              <w:spacing w:line="232" w:lineRule="auto"/>
              <w:rPr>
                <w:rFonts w:ascii="宋体" w:hAnsi="宋体" w:eastAsia="宋体" w:cs="宋体"/>
                <w:color w:val="auto"/>
                <w:spacing w:val="-2"/>
                <w:sz w:val="21"/>
                <w:highlight w:val="none"/>
              </w:rPr>
            </w:pP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35620">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D9735">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98619">
            <w:pPr>
              <w:spacing w:line="232" w:lineRule="auto"/>
              <w:jc w:val="right"/>
              <w:rPr>
                <w:rFonts w:ascii="宋体" w:hAnsi="宋体" w:eastAsia="宋体" w:cs="宋体"/>
                <w:color w:val="auto"/>
                <w:spacing w:val="-2"/>
                <w:sz w:val="21"/>
                <w:highlight w:val="none"/>
              </w:rPr>
            </w:pP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DCC8118">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C8C762">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2200B495">
            <w:pPr>
              <w:spacing w:line="232" w:lineRule="auto"/>
              <w:jc w:val="right"/>
              <w:rPr>
                <w:rFonts w:ascii="宋体" w:hAnsi="宋体" w:eastAsia="宋体" w:cs="宋体"/>
                <w:color w:val="auto"/>
                <w:spacing w:val="-2"/>
                <w:sz w:val="21"/>
                <w:highlight w:val="none"/>
              </w:rPr>
            </w:pPr>
          </w:p>
        </w:tc>
      </w:tr>
      <w:tr w14:paraId="3743028A">
        <w:tblPrEx>
          <w:tblCellMar>
            <w:top w:w="0" w:type="dxa"/>
            <w:left w:w="0" w:type="dxa"/>
            <w:bottom w:w="0" w:type="dxa"/>
            <w:right w:w="0" w:type="dxa"/>
          </w:tblCellMar>
        </w:tblPrEx>
        <w:trPr>
          <w:trHeight w:val="344"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41D14DF">
            <w:pPr>
              <w:spacing w:line="232" w:lineRule="auto"/>
              <w:jc w:val="center"/>
              <w:rPr>
                <w:rFonts w:ascii="宋体" w:hAnsi="宋体" w:eastAsia="宋体" w:cs="宋体"/>
                <w:color w:val="auto"/>
                <w:spacing w:val="-2"/>
                <w:sz w:val="21"/>
                <w:highlight w:val="none"/>
              </w:rPr>
            </w:pP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EFA9B">
            <w:pPr>
              <w:spacing w:line="232" w:lineRule="auto"/>
              <w:jc w:val="center"/>
              <w:rPr>
                <w:rFonts w:ascii="宋体" w:hAnsi="宋体" w:eastAsia="宋体" w:cs="宋体"/>
                <w:color w:val="auto"/>
                <w:spacing w:val="-2"/>
                <w:sz w:val="21"/>
                <w:highlight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06145">
            <w:pPr>
              <w:spacing w:line="232" w:lineRule="auto"/>
              <w:rPr>
                <w:rFonts w:ascii="宋体" w:hAnsi="宋体" w:eastAsia="宋体" w:cs="宋体"/>
                <w:color w:val="auto"/>
                <w:spacing w:val="-2"/>
                <w:sz w:val="21"/>
                <w:highlight w:val="none"/>
              </w:rPr>
            </w:pP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248AD">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AC998">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25A52">
            <w:pPr>
              <w:spacing w:line="232" w:lineRule="auto"/>
              <w:jc w:val="right"/>
              <w:rPr>
                <w:rFonts w:ascii="宋体" w:hAnsi="宋体" w:eastAsia="宋体" w:cs="宋体"/>
                <w:color w:val="auto"/>
                <w:spacing w:val="-2"/>
                <w:sz w:val="21"/>
                <w:highlight w:val="none"/>
              </w:rPr>
            </w:pP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FD5ECE0">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397A05">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69CEC923">
            <w:pPr>
              <w:spacing w:line="232" w:lineRule="auto"/>
              <w:jc w:val="right"/>
              <w:rPr>
                <w:rFonts w:ascii="宋体" w:hAnsi="宋体" w:eastAsia="宋体" w:cs="宋体"/>
                <w:color w:val="auto"/>
                <w:spacing w:val="-2"/>
                <w:sz w:val="21"/>
                <w:highlight w:val="none"/>
              </w:rPr>
            </w:pPr>
          </w:p>
        </w:tc>
      </w:tr>
      <w:tr w14:paraId="4B392496">
        <w:tblPrEx>
          <w:tblCellMar>
            <w:top w:w="0" w:type="dxa"/>
            <w:left w:w="0" w:type="dxa"/>
            <w:bottom w:w="0" w:type="dxa"/>
            <w:right w:w="0" w:type="dxa"/>
          </w:tblCellMar>
        </w:tblPrEx>
        <w:trPr>
          <w:trHeight w:val="344"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7D08CDB0">
            <w:pPr>
              <w:spacing w:line="232" w:lineRule="auto"/>
              <w:jc w:val="center"/>
              <w:rPr>
                <w:rFonts w:ascii="宋体" w:hAnsi="宋体" w:eastAsia="宋体" w:cs="宋体"/>
                <w:color w:val="auto"/>
                <w:spacing w:val="-2"/>
                <w:sz w:val="21"/>
                <w:highlight w:val="none"/>
              </w:rPr>
            </w:pP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EBC36">
            <w:pPr>
              <w:spacing w:line="232" w:lineRule="auto"/>
              <w:jc w:val="center"/>
              <w:rPr>
                <w:rFonts w:ascii="宋体" w:hAnsi="宋体" w:eastAsia="宋体" w:cs="宋体"/>
                <w:color w:val="auto"/>
                <w:spacing w:val="-2"/>
                <w:sz w:val="21"/>
                <w:highlight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C1D60">
            <w:pPr>
              <w:spacing w:line="232" w:lineRule="auto"/>
              <w:rPr>
                <w:rFonts w:ascii="宋体" w:hAnsi="宋体" w:eastAsia="宋体" w:cs="宋体"/>
                <w:color w:val="auto"/>
                <w:spacing w:val="-2"/>
                <w:sz w:val="21"/>
                <w:highlight w:val="none"/>
              </w:rPr>
            </w:pP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EDE4E">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1802E">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5A640">
            <w:pPr>
              <w:spacing w:line="232" w:lineRule="auto"/>
              <w:jc w:val="right"/>
              <w:rPr>
                <w:rFonts w:ascii="宋体" w:hAnsi="宋体" w:eastAsia="宋体" w:cs="宋体"/>
                <w:color w:val="auto"/>
                <w:spacing w:val="-2"/>
                <w:sz w:val="21"/>
                <w:highlight w:val="none"/>
              </w:rPr>
            </w:pP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D605E7B">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FD4543">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672CC069">
            <w:pPr>
              <w:spacing w:line="232" w:lineRule="auto"/>
              <w:jc w:val="right"/>
              <w:rPr>
                <w:rFonts w:ascii="宋体" w:hAnsi="宋体" w:eastAsia="宋体" w:cs="宋体"/>
                <w:color w:val="auto"/>
                <w:spacing w:val="-2"/>
                <w:sz w:val="21"/>
                <w:highlight w:val="none"/>
              </w:rPr>
            </w:pPr>
          </w:p>
        </w:tc>
      </w:tr>
      <w:tr w14:paraId="3B76E5E6">
        <w:tblPrEx>
          <w:tblCellMar>
            <w:top w:w="0" w:type="dxa"/>
            <w:left w:w="0" w:type="dxa"/>
            <w:bottom w:w="0" w:type="dxa"/>
            <w:right w:w="0" w:type="dxa"/>
          </w:tblCellMar>
        </w:tblPrEx>
        <w:trPr>
          <w:trHeight w:val="344"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61BBBC5">
            <w:pPr>
              <w:spacing w:line="232" w:lineRule="auto"/>
              <w:jc w:val="center"/>
              <w:rPr>
                <w:rFonts w:ascii="宋体" w:hAnsi="宋体" w:eastAsia="宋体" w:cs="宋体"/>
                <w:color w:val="auto"/>
                <w:spacing w:val="-2"/>
                <w:sz w:val="21"/>
                <w:highlight w:val="none"/>
              </w:rPr>
            </w:pP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5F0C2">
            <w:pPr>
              <w:spacing w:line="232" w:lineRule="auto"/>
              <w:jc w:val="center"/>
              <w:rPr>
                <w:rFonts w:ascii="宋体" w:hAnsi="宋体" w:eastAsia="宋体" w:cs="宋体"/>
                <w:color w:val="auto"/>
                <w:spacing w:val="-2"/>
                <w:sz w:val="21"/>
                <w:highlight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E682C">
            <w:pPr>
              <w:spacing w:line="232" w:lineRule="auto"/>
              <w:rPr>
                <w:rFonts w:ascii="宋体" w:hAnsi="宋体" w:eastAsia="宋体" w:cs="宋体"/>
                <w:color w:val="auto"/>
                <w:spacing w:val="-2"/>
                <w:sz w:val="21"/>
                <w:highlight w:val="none"/>
              </w:rPr>
            </w:pP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B62E8">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506D1">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78CC3">
            <w:pPr>
              <w:spacing w:line="232" w:lineRule="auto"/>
              <w:jc w:val="right"/>
              <w:rPr>
                <w:rFonts w:ascii="宋体" w:hAnsi="宋体" w:eastAsia="宋体" w:cs="宋体"/>
                <w:color w:val="auto"/>
                <w:spacing w:val="-2"/>
                <w:sz w:val="21"/>
                <w:highlight w:val="none"/>
              </w:rPr>
            </w:pP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67D194F">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0A454C">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090B5B98">
            <w:pPr>
              <w:spacing w:line="232" w:lineRule="auto"/>
              <w:jc w:val="right"/>
              <w:rPr>
                <w:rFonts w:ascii="宋体" w:hAnsi="宋体" w:eastAsia="宋体" w:cs="宋体"/>
                <w:color w:val="auto"/>
                <w:spacing w:val="-2"/>
                <w:sz w:val="21"/>
                <w:highlight w:val="none"/>
              </w:rPr>
            </w:pPr>
          </w:p>
        </w:tc>
      </w:tr>
      <w:tr w14:paraId="56EED43B">
        <w:tblPrEx>
          <w:tblCellMar>
            <w:top w:w="0" w:type="dxa"/>
            <w:left w:w="0" w:type="dxa"/>
            <w:bottom w:w="0" w:type="dxa"/>
            <w:right w:w="0" w:type="dxa"/>
          </w:tblCellMar>
        </w:tblPrEx>
        <w:trPr>
          <w:trHeight w:val="344"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30D20B38">
            <w:pPr>
              <w:spacing w:line="232" w:lineRule="auto"/>
              <w:jc w:val="center"/>
              <w:rPr>
                <w:rFonts w:ascii="宋体" w:hAnsi="宋体" w:eastAsia="宋体" w:cs="宋体"/>
                <w:color w:val="auto"/>
                <w:spacing w:val="-2"/>
                <w:sz w:val="21"/>
                <w:highlight w:val="none"/>
              </w:rPr>
            </w:pP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254D0">
            <w:pPr>
              <w:spacing w:line="232" w:lineRule="auto"/>
              <w:jc w:val="center"/>
              <w:rPr>
                <w:rFonts w:ascii="宋体" w:hAnsi="宋体" w:eastAsia="宋体" w:cs="宋体"/>
                <w:color w:val="auto"/>
                <w:spacing w:val="-2"/>
                <w:sz w:val="21"/>
                <w:highlight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E6449">
            <w:pPr>
              <w:spacing w:line="232" w:lineRule="auto"/>
              <w:rPr>
                <w:rFonts w:ascii="宋体" w:hAnsi="宋体" w:eastAsia="宋体" w:cs="宋体"/>
                <w:color w:val="auto"/>
                <w:spacing w:val="-2"/>
                <w:sz w:val="21"/>
                <w:highlight w:val="none"/>
              </w:rPr>
            </w:pP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FB930">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A5D8E">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B3498">
            <w:pPr>
              <w:spacing w:line="232" w:lineRule="auto"/>
              <w:jc w:val="right"/>
              <w:rPr>
                <w:rFonts w:ascii="宋体" w:hAnsi="宋体" w:eastAsia="宋体" w:cs="宋体"/>
                <w:color w:val="auto"/>
                <w:spacing w:val="-2"/>
                <w:sz w:val="21"/>
                <w:highlight w:val="none"/>
              </w:rPr>
            </w:pP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B12AD9F">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A5515D">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0C5AD35F">
            <w:pPr>
              <w:spacing w:line="232" w:lineRule="auto"/>
              <w:jc w:val="right"/>
              <w:rPr>
                <w:rFonts w:ascii="宋体" w:hAnsi="宋体" w:eastAsia="宋体" w:cs="宋体"/>
                <w:color w:val="auto"/>
                <w:spacing w:val="-2"/>
                <w:sz w:val="21"/>
                <w:highlight w:val="none"/>
              </w:rPr>
            </w:pPr>
          </w:p>
        </w:tc>
      </w:tr>
      <w:tr w14:paraId="032CFD57">
        <w:tblPrEx>
          <w:tblCellMar>
            <w:top w:w="0" w:type="dxa"/>
            <w:left w:w="0" w:type="dxa"/>
            <w:bottom w:w="0" w:type="dxa"/>
            <w:right w:w="0" w:type="dxa"/>
          </w:tblCellMar>
        </w:tblPrEx>
        <w:trPr>
          <w:trHeight w:val="344" w:hRule="exact"/>
        </w:trPr>
        <w:tc>
          <w:tcPr>
            <w:tcW w:w="470"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4A1E4736">
            <w:pPr>
              <w:spacing w:line="232" w:lineRule="auto"/>
              <w:jc w:val="center"/>
              <w:rPr>
                <w:rFonts w:ascii="宋体" w:hAnsi="宋体" w:eastAsia="宋体" w:cs="宋体"/>
                <w:color w:val="auto"/>
                <w:spacing w:val="-2"/>
                <w:sz w:val="21"/>
                <w:highlight w:val="none"/>
              </w:rPr>
            </w:pPr>
          </w:p>
        </w:tc>
        <w:tc>
          <w:tcPr>
            <w:tcW w:w="1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660CE">
            <w:pPr>
              <w:spacing w:line="232" w:lineRule="auto"/>
              <w:jc w:val="center"/>
              <w:rPr>
                <w:rFonts w:ascii="宋体" w:hAnsi="宋体" w:eastAsia="宋体" w:cs="宋体"/>
                <w:color w:val="auto"/>
                <w:spacing w:val="-2"/>
                <w:sz w:val="21"/>
                <w:highlight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8CBCC">
            <w:pPr>
              <w:spacing w:line="232" w:lineRule="auto"/>
              <w:rPr>
                <w:rFonts w:ascii="宋体" w:hAnsi="宋体" w:eastAsia="宋体" w:cs="宋体"/>
                <w:color w:val="auto"/>
                <w:spacing w:val="-2"/>
                <w:sz w:val="21"/>
                <w:highlight w:val="none"/>
              </w:rPr>
            </w:pPr>
          </w:p>
        </w:tc>
        <w:tc>
          <w:tcPr>
            <w:tcW w:w="2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6559A">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AEE84">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CE1F7">
            <w:pPr>
              <w:spacing w:line="232" w:lineRule="auto"/>
              <w:jc w:val="right"/>
              <w:rPr>
                <w:rFonts w:ascii="宋体" w:hAnsi="宋体" w:eastAsia="宋体" w:cs="宋体"/>
                <w:color w:val="auto"/>
                <w:spacing w:val="-2"/>
                <w:sz w:val="21"/>
                <w:highlight w:val="none"/>
              </w:rPr>
            </w:pPr>
          </w:p>
        </w:tc>
        <w:tc>
          <w:tcPr>
            <w:tcW w:w="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79D144F">
            <w:pPr>
              <w:spacing w:line="232" w:lineRule="auto"/>
              <w:jc w:val="right"/>
              <w:rPr>
                <w:rFonts w:ascii="宋体" w:hAnsi="宋体" w:eastAsia="宋体" w:cs="宋体"/>
                <w:color w:val="auto"/>
                <w:spacing w:val="-2"/>
                <w:sz w:val="21"/>
                <w:highlight w:val="none"/>
              </w:rPr>
            </w:pP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63D91B">
            <w:pPr>
              <w:spacing w:line="232" w:lineRule="auto"/>
              <w:jc w:val="right"/>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65C8D0CE">
            <w:pPr>
              <w:spacing w:line="232" w:lineRule="auto"/>
              <w:jc w:val="right"/>
              <w:rPr>
                <w:rFonts w:ascii="宋体" w:hAnsi="宋体" w:eastAsia="宋体" w:cs="宋体"/>
                <w:color w:val="auto"/>
                <w:spacing w:val="-2"/>
                <w:sz w:val="21"/>
                <w:highlight w:val="none"/>
              </w:rPr>
            </w:pPr>
          </w:p>
        </w:tc>
      </w:tr>
      <w:tr w14:paraId="56B1AE6F">
        <w:tblPrEx>
          <w:tblCellMar>
            <w:top w:w="0" w:type="dxa"/>
            <w:left w:w="0" w:type="dxa"/>
            <w:bottom w:w="0" w:type="dxa"/>
            <w:right w:w="0" w:type="dxa"/>
          </w:tblCellMar>
        </w:tblPrEx>
        <w:trPr>
          <w:trHeight w:val="444" w:hRule="exact"/>
        </w:trPr>
        <w:tc>
          <w:tcPr>
            <w:tcW w:w="8110" w:type="dxa"/>
            <w:gridSpan w:val="9"/>
            <w:tcBorders>
              <w:top w:val="single" w:color="000000" w:sz="4" w:space="0"/>
              <w:left w:val="single" w:color="000000" w:sz="10" w:space="0"/>
              <w:bottom w:val="single" w:color="000000" w:sz="4" w:space="0"/>
              <w:right w:val="single" w:color="000000" w:sz="4" w:space="0"/>
            </w:tcBorders>
            <w:shd w:val="clear" w:color="auto" w:fill="auto"/>
            <w:vAlign w:val="center"/>
          </w:tcPr>
          <w:p w14:paraId="797AC1B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本页小计</w:t>
            </w:r>
          </w:p>
        </w:tc>
        <w:tc>
          <w:tcPr>
            <w:tcW w:w="1009" w:type="dxa"/>
            <w:gridSpan w:val="2"/>
            <w:tcBorders>
              <w:top w:val="single" w:color="000000" w:sz="4" w:space="0"/>
              <w:left w:val="single" w:color="000000" w:sz="4" w:space="0"/>
              <w:bottom w:val="single" w:color="000000" w:sz="4" w:space="0"/>
              <w:right w:val="single" w:color="000000" w:sz="4" w:space="0"/>
            </w:tcBorders>
            <w:shd w:val="clear" w:color="auto" w:fill="auto"/>
          </w:tcPr>
          <w:p w14:paraId="731C4386">
            <w:pPr>
              <w:spacing w:line="232" w:lineRule="auto"/>
              <w:rPr>
                <w:rFonts w:ascii="宋体" w:hAnsi="宋体" w:eastAsia="宋体" w:cs="宋体"/>
                <w:color w:val="auto"/>
                <w:spacing w:val="-2"/>
                <w:sz w:val="21"/>
                <w:highlight w:val="none"/>
              </w:rPr>
            </w:pPr>
          </w:p>
        </w:tc>
        <w:tc>
          <w:tcPr>
            <w:tcW w:w="995" w:type="dxa"/>
            <w:tcBorders>
              <w:top w:val="single" w:color="000000" w:sz="4" w:space="0"/>
              <w:left w:val="single" w:color="000000" w:sz="4" w:space="0"/>
              <w:bottom w:val="single" w:color="000000" w:sz="4" w:space="0"/>
              <w:right w:val="single" w:color="000000" w:sz="10" w:space="0"/>
            </w:tcBorders>
            <w:shd w:val="clear" w:color="auto" w:fill="auto"/>
          </w:tcPr>
          <w:p w14:paraId="475973A4">
            <w:pPr>
              <w:spacing w:line="232" w:lineRule="auto"/>
              <w:rPr>
                <w:rFonts w:ascii="宋体" w:hAnsi="宋体" w:eastAsia="宋体" w:cs="宋体"/>
                <w:color w:val="auto"/>
                <w:spacing w:val="-2"/>
                <w:sz w:val="21"/>
                <w:highlight w:val="none"/>
              </w:rPr>
            </w:pPr>
          </w:p>
        </w:tc>
      </w:tr>
    </w:tbl>
    <w:p w14:paraId="4D27D26E">
      <w:pPr>
        <w:rPr>
          <w:color w:val="auto"/>
          <w:highlight w:val="none"/>
        </w:rPr>
        <w:sectPr>
          <w:pgSz w:w="11906" w:h="16838"/>
          <w:pgMar w:top="850" w:right="850" w:bottom="630" w:left="850" w:header="567" w:footer="630" w:gutter="0"/>
          <w:cols w:space="720" w:num="1"/>
        </w:sectPr>
      </w:pPr>
    </w:p>
    <w:tbl>
      <w:tblPr>
        <w:tblStyle w:val="17"/>
        <w:tblW w:w="10033" w:type="dxa"/>
        <w:tblInd w:w="0" w:type="dxa"/>
        <w:tblLayout w:type="fixed"/>
        <w:tblCellMar>
          <w:top w:w="0" w:type="dxa"/>
          <w:left w:w="0" w:type="dxa"/>
          <w:bottom w:w="0" w:type="dxa"/>
          <w:right w:w="0" w:type="dxa"/>
        </w:tblCellMar>
      </w:tblPr>
      <w:tblGrid>
        <w:gridCol w:w="544"/>
        <w:gridCol w:w="1086"/>
        <w:gridCol w:w="1338"/>
        <w:gridCol w:w="2247"/>
        <w:gridCol w:w="359"/>
        <w:gridCol w:w="644"/>
        <w:gridCol w:w="975"/>
        <w:gridCol w:w="974"/>
        <w:gridCol w:w="186"/>
        <w:gridCol w:w="825"/>
        <w:gridCol w:w="855"/>
      </w:tblGrid>
      <w:tr w14:paraId="3293A2D7">
        <w:tblPrEx>
          <w:tblCellMar>
            <w:top w:w="0" w:type="dxa"/>
            <w:left w:w="0" w:type="dxa"/>
            <w:bottom w:w="0" w:type="dxa"/>
            <w:right w:w="0" w:type="dxa"/>
          </w:tblCellMar>
        </w:tblPrEx>
        <w:trPr>
          <w:trHeight w:val="673" w:hRule="exact"/>
        </w:trPr>
        <w:tc>
          <w:tcPr>
            <w:tcW w:w="10033" w:type="dxa"/>
            <w:gridSpan w:val="11"/>
            <w:shd w:val="clear" w:color="auto" w:fill="auto"/>
            <w:vAlign w:val="center"/>
          </w:tcPr>
          <w:p w14:paraId="41178A70">
            <w:pPr>
              <w:spacing w:line="232" w:lineRule="auto"/>
              <w:jc w:val="center"/>
              <w:rPr>
                <w:rFonts w:hint="eastAsia" w:ascii="宋体" w:hAnsi="宋体" w:eastAsia="宋体" w:cs="宋体"/>
                <w:b/>
                <w:color w:val="auto"/>
                <w:spacing w:val="-2"/>
                <w:sz w:val="32"/>
                <w:highlight w:val="none"/>
                <w:lang w:eastAsia="zh-CN"/>
              </w:rPr>
            </w:pPr>
            <w:r>
              <w:rPr>
                <w:rFonts w:hint="eastAsia" w:ascii="宋体" w:hAnsi="宋体" w:eastAsia="宋体" w:cs="宋体"/>
                <w:b/>
                <w:color w:val="auto"/>
                <w:spacing w:val="-2"/>
                <w:sz w:val="32"/>
                <w:highlight w:val="none"/>
                <w:lang w:eastAsia="zh-CN"/>
              </w:rPr>
              <w:t>全费用工程量清单与计价表</w:t>
            </w:r>
          </w:p>
        </w:tc>
      </w:tr>
      <w:tr w14:paraId="46CFC4EF">
        <w:tblPrEx>
          <w:tblCellMar>
            <w:top w:w="0" w:type="dxa"/>
            <w:left w:w="0" w:type="dxa"/>
            <w:bottom w:w="0" w:type="dxa"/>
            <w:right w:w="0" w:type="dxa"/>
          </w:tblCellMar>
        </w:tblPrEx>
        <w:trPr>
          <w:trHeight w:val="344" w:hRule="exact"/>
        </w:trPr>
        <w:tc>
          <w:tcPr>
            <w:tcW w:w="5215" w:type="dxa"/>
            <w:gridSpan w:val="4"/>
            <w:tcBorders>
              <w:bottom w:val="single" w:color="000000" w:sz="10" w:space="0"/>
            </w:tcBorders>
            <w:shd w:val="clear" w:color="auto" w:fill="auto"/>
            <w:vAlign w:val="center"/>
          </w:tcPr>
          <w:p w14:paraId="4CADB9EC">
            <w:pPr>
              <w:spacing w:line="232" w:lineRule="auto"/>
              <w:rPr>
                <w:rFonts w:ascii="黑体" w:hAnsi="黑体" w:eastAsia="黑体" w:cs="黑体"/>
                <w:color w:val="auto"/>
                <w:spacing w:val="-2"/>
                <w:sz w:val="21"/>
                <w:highlight w:val="none"/>
              </w:rPr>
            </w:pPr>
            <w:r>
              <w:rPr>
                <w:rFonts w:ascii="黑体" w:hAnsi="黑体" w:eastAsia="黑体" w:cs="黑体"/>
                <w:color w:val="auto"/>
                <w:spacing w:val="-2"/>
                <w:sz w:val="21"/>
                <w:highlight w:val="none"/>
              </w:rPr>
              <w:t>工程名称：土建</w:t>
            </w:r>
          </w:p>
        </w:tc>
        <w:tc>
          <w:tcPr>
            <w:tcW w:w="3138" w:type="dxa"/>
            <w:gridSpan w:val="5"/>
            <w:tcBorders>
              <w:bottom w:val="single" w:color="000000" w:sz="10" w:space="0"/>
            </w:tcBorders>
            <w:shd w:val="clear" w:color="auto" w:fill="auto"/>
            <w:vAlign w:val="center"/>
          </w:tcPr>
          <w:p w14:paraId="57550FD5">
            <w:pPr>
              <w:spacing w:line="232" w:lineRule="auto"/>
              <w:rPr>
                <w:rFonts w:ascii="黑体" w:hAnsi="黑体" w:eastAsia="黑体" w:cs="黑体"/>
                <w:color w:val="auto"/>
                <w:spacing w:val="-2"/>
                <w:sz w:val="21"/>
                <w:highlight w:val="none"/>
              </w:rPr>
            </w:pPr>
            <w:r>
              <w:rPr>
                <w:rFonts w:ascii="黑体" w:hAnsi="黑体" w:eastAsia="黑体" w:cs="黑体"/>
                <w:color w:val="auto"/>
                <w:spacing w:val="-2"/>
                <w:sz w:val="21"/>
                <w:highlight w:val="none"/>
              </w:rPr>
              <w:t>标段：</w:t>
            </w:r>
          </w:p>
        </w:tc>
        <w:tc>
          <w:tcPr>
            <w:tcW w:w="1680" w:type="dxa"/>
            <w:gridSpan w:val="2"/>
            <w:tcBorders>
              <w:bottom w:val="single" w:color="000000" w:sz="10" w:space="0"/>
            </w:tcBorders>
            <w:shd w:val="clear" w:color="auto" w:fill="auto"/>
            <w:vAlign w:val="center"/>
          </w:tcPr>
          <w:p w14:paraId="5B647212">
            <w:pPr>
              <w:spacing w:line="232" w:lineRule="auto"/>
              <w:jc w:val="right"/>
              <w:rPr>
                <w:rFonts w:ascii="黑体" w:hAnsi="黑体" w:eastAsia="黑体" w:cs="黑体"/>
                <w:color w:val="auto"/>
                <w:spacing w:val="-2"/>
                <w:sz w:val="21"/>
                <w:highlight w:val="none"/>
              </w:rPr>
            </w:pPr>
            <w:r>
              <w:rPr>
                <w:rFonts w:ascii="黑体" w:hAnsi="黑体" w:eastAsia="黑体" w:cs="黑体"/>
                <w:color w:val="auto"/>
                <w:spacing w:val="-2"/>
                <w:sz w:val="21"/>
                <w:highlight w:val="none"/>
              </w:rPr>
              <w:t>第1页 共1页</w:t>
            </w:r>
          </w:p>
        </w:tc>
      </w:tr>
      <w:tr w14:paraId="15DF228E">
        <w:tblPrEx>
          <w:tblCellMar>
            <w:top w:w="0" w:type="dxa"/>
            <w:left w:w="0" w:type="dxa"/>
            <w:bottom w:w="0" w:type="dxa"/>
            <w:right w:w="0" w:type="dxa"/>
          </w:tblCellMar>
        </w:tblPrEx>
        <w:trPr>
          <w:trHeight w:val="301" w:hRule="exact"/>
        </w:trPr>
        <w:tc>
          <w:tcPr>
            <w:tcW w:w="544" w:type="dxa"/>
            <w:vMerge w:val="restart"/>
            <w:tcBorders>
              <w:top w:val="single" w:color="000000" w:sz="10" w:space="0"/>
              <w:left w:val="single" w:color="000000" w:sz="10" w:space="0"/>
              <w:bottom w:val="single" w:color="000000" w:sz="4" w:space="0"/>
              <w:right w:val="single" w:color="000000" w:sz="4" w:space="0"/>
            </w:tcBorders>
            <w:shd w:val="clear" w:color="auto" w:fill="FFFFFF"/>
            <w:vAlign w:val="center"/>
          </w:tcPr>
          <w:p w14:paraId="5973E220">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序号</w:t>
            </w:r>
          </w:p>
        </w:tc>
        <w:tc>
          <w:tcPr>
            <w:tcW w:w="1086" w:type="dxa"/>
            <w:vMerge w:val="restart"/>
            <w:tcBorders>
              <w:top w:val="single" w:color="000000" w:sz="10" w:space="0"/>
              <w:left w:val="single" w:color="000000" w:sz="4" w:space="0"/>
              <w:bottom w:val="single" w:color="000000" w:sz="4" w:space="0"/>
              <w:right w:val="single" w:color="000000" w:sz="4" w:space="0"/>
            </w:tcBorders>
            <w:shd w:val="clear" w:color="auto" w:fill="FFFFFF"/>
            <w:vAlign w:val="center"/>
          </w:tcPr>
          <w:p w14:paraId="1E5151DA">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项目编码</w:t>
            </w:r>
          </w:p>
        </w:tc>
        <w:tc>
          <w:tcPr>
            <w:tcW w:w="1338" w:type="dxa"/>
            <w:vMerge w:val="restart"/>
            <w:tcBorders>
              <w:top w:val="single" w:color="000000" w:sz="10" w:space="0"/>
              <w:left w:val="single" w:color="000000" w:sz="4" w:space="0"/>
              <w:bottom w:val="single" w:color="000000" w:sz="4" w:space="0"/>
              <w:right w:val="single" w:color="000000" w:sz="4" w:space="0"/>
            </w:tcBorders>
            <w:shd w:val="clear" w:color="auto" w:fill="FFFFFF"/>
            <w:vAlign w:val="center"/>
          </w:tcPr>
          <w:p w14:paraId="1D09C902">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项目名称</w:t>
            </w:r>
          </w:p>
        </w:tc>
        <w:tc>
          <w:tcPr>
            <w:tcW w:w="2606" w:type="dxa"/>
            <w:gridSpan w:val="2"/>
            <w:vMerge w:val="restart"/>
            <w:tcBorders>
              <w:top w:val="single" w:color="000000" w:sz="10" w:space="0"/>
              <w:left w:val="single" w:color="000000" w:sz="4" w:space="0"/>
              <w:bottom w:val="single" w:color="000000" w:sz="4" w:space="0"/>
              <w:right w:val="single" w:color="000000" w:sz="4" w:space="0"/>
            </w:tcBorders>
            <w:shd w:val="clear" w:color="auto" w:fill="FFFFFF"/>
            <w:vAlign w:val="center"/>
          </w:tcPr>
          <w:p w14:paraId="6CD73E21">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项目特征描述</w:t>
            </w:r>
          </w:p>
        </w:tc>
        <w:tc>
          <w:tcPr>
            <w:tcW w:w="644" w:type="dxa"/>
            <w:vMerge w:val="restart"/>
            <w:tcBorders>
              <w:top w:val="single" w:color="000000" w:sz="10" w:space="0"/>
              <w:left w:val="single" w:color="000000" w:sz="4" w:space="0"/>
              <w:bottom w:val="single" w:color="000000" w:sz="4" w:space="0"/>
              <w:right w:val="single" w:color="000000" w:sz="4" w:space="0"/>
            </w:tcBorders>
            <w:shd w:val="clear" w:color="auto" w:fill="FFFFFF"/>
            <w:vAlign w:val="center"/>
          </w:tcPr>
          <w:p w14:paraId="13957070">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计量</w:t>
            </w:r>
          </w:p>
          <w:p w14:paraId="14D94CF5">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单位</w:t>
            </w:r>
          </w:p>
        </w:tc>
        <w:tc>
          <w:tcPr>
            <w:tcW w:w="975" w:type="dxa"/>
            <w:vMerge w:val="restart"/>
            <w:tcBorders>
              <w:top w:val="single" w:color="000000" w:sz="10" w:space="0"/>
              <w:left w:val="single" w:color="000000" w:sz="4" w:space="0"/>
              <w:bottom w:val="single" w:color="000000" w:sz="4" w:space="0"/>
              <w:right w:val="single" w:color="000000" w:sz="4" w:space="0"/>
            </w:tcBorders>
            <w:shd w:val="clear" w:color="auto" w:fill="FFFFFF"/>
            <w:vAlign w:val="center"/>
          </w:tcPr>
          <w:p w14:paraId="6EF5F36D">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工程量</w:t>
            </w:r>
          </w:p>
        </w:tc>
        <w:tc>
          <w:tcPr>
            <w:tcW w:w="2840" w:type="dxa"/>
            <w:gridSpan w:val="4"/>
            <w:tcBorders>
              <w:top w:val="single" w:color="000000" w:sz="10" w:space="0"/>
              <w:left w:val="single" w:color="000000" w:sz="4" w:space="0"/>
              <w:bottom w:val="single" w:color="000000" w:sz="4" w:space="0"/>
              <w:right w:val="single" w:color="000000" w:sz="10" w:space="0"/>
            </w:tcBorders>
            <w:shd w:val="clear" w:color="auto" w:fill="FFFFFF"/>
            <w:vAlign w:val="center"/>
          </w:tcPr>
          <w:p w14:paraId="139580C5">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金额（元）</w:t>
            </w:r>
          </w:p>
        </w:tc>
      </w:tr>
      <w:tr w14:paraId="52E58B05">
        <w:tblPrEx>
          <w:tblCellMar>
            <w:top w:w="0" w:type="dxa"/>
            <w:left w:w="0" w:type="dxa"/>
            <w:bottom w:w="0" w:type="dxa"/>
            <w:right w:w="0" w:type="dxa"/>
          </w:tblCellMar>
        </w:tblPrEx>
        <w:trPr>
          <w:trHeight w:val="301" w:hRule="exact"/>
        </w:trPr>
        <w:tc>
          <w:tcPr>
            <w:tcW w:w="544" w:type="dxa"/>
            <w:vMerge w:val="continue"/>
            <w:tcBorders>
              <w:top w:val="single" w:color="000000" w:sz="10" w:space="0"/>
              <w:left w:val="single" w:color="000000" w:sz="10" w:space="0"/>
              <w:bottom w:val="single" w:color="000000" w:sz="4" w:space="0"/>
              <w:right w:val="single" w:color="000000" w:sz="4" w:space="0"/>
            </w:tcBorders>
            <w:shd w:val="clear" w:color="auto" w:fill="FFFFFF"/>
            <w:vAlign w:val="center"/>
          </w:tcPr>
          <w:p w14:paraId="79C4863B">
            <w:pPr>
              <w:rPr>
                <w:color w:val="auto"/>
                <w:highlight w:val="none"/>
              </w:rPr>
            </w:pPr>
          </w:p>
        </w:tc>
        <w:tc>
          <w:tcPr>
            <w:tcW w:w="1086"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63EF78FB">
            <w:pPr>
              <w:rPr>
                <w:color w:val="auto"/>
                <w:highlight w:val="none"/>
              </w:rPr>
            </w:pPr>
          </w:p>
        </w:tc>
        <w:tc>
          <w:tcPr>
            <w:tcW w:w="1338"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5EB8B345">
            <w:pPr>
              <w:rPr>
                <w:color w:val="auto"/>
                <w:highlight w:val="none"/>
              </w:rPr>
            </w:pPr>
          </w:p>
        </w:tc>
        <w:tc>
          <w:tcPr>
            <w:tcW w:w="2606" w:type="dxa"/>
            <w:gridSpan w:val="2"/>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671E9765">
            <w:pPr>
              <w:rPr>
                <w:color w:val="auto"/>
                <w:highlight w:val="none"/>
              </w:rPr>
            </w:pPr>
          </w:p>
        </w:tc>
        <w:tc>
          <w:tcPr>
            <w:tcW w:w="644"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39BE7BCC">
            <w:pPr>
              <w:rPr>
                <w:color w:val="auto"/>
                <w:highlight w:val="none"/>
              </w:rPr>
            </w:pPr>
          </w:p>
        </w:tc>
        <w:tc>
          <w:tcPr>
            <w:tcW w:w="975"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5C18AB95">
            <w:pPr>
              <w:rPr>
                <w:color w:val="auto"/>
                <w:highlight w:val="none"/>
              </w:rPr>
            </w:pPr>
          </w:p>
        </w:tc>
        <w:tc>
          <w:tcPr>
            <w:tcW w:w="97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1E31508">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综合单价</w:t>
            </w:r>
          </w:p>
        </w:tc>
        <w:tc>
          <w:tcPr>
            <w:tcW w:w="1011"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E4A08C7">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合价</w:t>
            </w:r>
          </w:p>
        </w:tc>
        <w:tc>
          <w:tcPr>
            <w:tcW w:w="855" w:type="dxa"/>
            <w:tcBorders>
              <w:top w:val="single" w:color="000000" w:sz="4" w:space="0"/>
              <w:left w:val="single" w:color="000000" w:sz="4" w:space="0"/>
              <w:bottom w:val="single" w:color="000000" w:sz="4" w:space="0"/>
              <w:right w:val="single" w:color="000000" w:sz="10" w:space="0"/>
            </w:tcBorders>
            <w:shd w:val="clear" w:color="auto" w:fill="FFFFFF"/>
            <w:vAlign w:val="center"/>
          </w:tcPr>
          <w:p w14:paraId="46FE8AD7">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其中</w:t>
            </w:r>
          </w:p>
        </w:tc>
      </w:tr>
      <w:tr w14:paraId="1EBAFC5A">
        <w:tblPrEx>
          <w:tblCellMar>
            <w:top w:w="0" w:type="dxa"/>
            <w:left w:w="0" w:type="dxa"/>
            <w:bottom w:w="0" w:type="dxa"/>
            <w:right w:w="0" w:type="dxa"/>
          </w:tblCellMar>
        </w:tblPrEx>
        <w:trPr>
          <w:trHeight w:val="287" w:hRule="exact"/>
        </w:trPr>
        <w:tc>
          <w:tcPr>
            <w:tcW w:w="544" w:type="dxa"/>
            <w:vMerge w:val="continue"/>
            <w:tcBorders>
              <w:top w:val="single" w:color="000000" w:sz="10" w:space="0"/>
              <w:left w:val="single" w:color="000000" w:sz="10" w:space="0"/>
              <w:bottom w:val="single" w:color="000000" w:sz="4" w:space="0"/>
              <w:right w:val="single" w:color="000000" w:sz="4" w:space="0"/>
            </w:tcBorders>
            <w:shd w:val="clear" w:color="auto" w:fill="FFFFFF"/>
            <w:vAlign w:val="center"/>
          </w:tcPr>
          <w:p w14:paraId="068AABAD">
            <w:pPr>
              <w:rPr>
                <w:color w:val="auto"/>
                <w:highlight w:val="none"/>
              </w:rPr>
            </w:pPr>
          </w:p>
        </w:tc>
        <w:tc>
          <w:tcPr>
            <w:tcW w:w="1086"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7A0B3EB3">
            <w:pPr>
              <w:rPr>
                <w:color w:val="auto"/>
                <w:highlight w:val="none"/>
              </w:rPr>
            </w:pPr>
          </w:p>
        </w:tc>
        <w:tc>
          <w:tcPr>
            <w:tcW w:w="1338"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71B790A6">
            <w:pPr>
              <w:rPr>
                <w:color w:val="auto"/>
                <w:highlight w:val="none"/>
              </w:rPr>
            </w:pPr>
          </w:p>
        </w:tc>
        <w:tc>
          <w:tcPr>
            <w:tcW w:w="2606" w:type="dxa"/>
            <w:gridSpan w:val="2"/>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0E1344C1">
            <w:pPr>
              <w:rPr>
                <w:color w:val="auto"/>
                <w:highlight w:val="none"/>
              </w:rPr>
            </w:pPr>
          </w:p>
        </w:tc>
        <w:tc>
          <w:tcPr>
            <w:tcW w:w="644"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5CB608C2">
            <w:pPr>
              <w:rPr>
                <w:color w:val="auto"/>
                <w:highlight w:val="none"/>
              </w:rPr>
            </w:pPr>
          </w:p>
        </w:tc>
        <w:tc>
          <w:tcPr>
            <w:tcW w:w="975"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73810851">
            <w:pPr>
              <w:rPr>
                <w:color w:val="auto"/>
                <w:highlight w:val="none"/>
              </w:rPr>
            </w:pPr>
          </w:p>
        </w:tc>
        <w:tc>
          <w:tcPr>
            <w:tcW w:w="9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9DD83C8">
            <w:pPr>
              <w:rPr>
                <w:color w:val="auto"/>
                <w:highlight w:val="none"/>
              </w:rPr>
            </w:pPr>
          </w:p>
        </w:tc>
        <w:tc>
          <w:tcPr>
            <w:tcW w:w="1011"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E0BCD19">
            <w:pPr>
              <w:rPr>
                <w:color w:val="auto"/>
                <w:highlight w:val="none"/>
              </w:rPr>
            </w:pPr>
          </w:p>
        </w:tc>
        <w:tc>
          <w:tcPr>
            <w:tcW w:w="855" w:type="dxa"/>
            <w:tcBorders>
              <w:top w:val="single" w:color="000000" w:sz="4" w:space="0"/>
              <w:left w:val="single" w:color="000000" w:sz="4" w:space="0"/>
              <w:bottom w:val="single" w:color="000000" w:sz="4" w:space="0"/>
              <w:right w:val="single" w:color="000000" w:sz="10" w:space="0"/>
            </w:tcBorders>
            <w:shd w:val="clear" w:color="auto" w:fill="FFFFFF"/>
            <w:vAlign w:val="center"/>
          </w:tcPr>
          <w:p w14:paraId="3B8FF60E">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暂估价</w:t>
            </w:r>
          </w:p>
        </w:tc>
      </w:tr>
      <w:tr w14:paraId="6C85B220">
        <w:tblPrEx>
          <w:tblCellMar>
            <w:top w:w="0" w:type="dxa"/>
            <w:left w:w="0" w:type="dxa"/>
            <w:bottom w:w="0" w:type="dxa"/>
            <w:right w:w="0" w:type="dxa"/>
          </w:tblCellMar>
        </w:tblPrEx>
        <w:trPr>
          <w:trHeight w:val="1432" w:hRule="exact"/>
        </w:trPr>
        <w:tc>
          <w:tcPr>
            <w:tcW w:w="544" w:type="dxa"/>
            <w:vMerge w:val="restart"/>
            <w:tcBorders>
              <w:top w:val="single" w:color="000000" w:sz="4" w:space="0"/>
              <w:left w:val="single" w:color="000000" w:sz="10" w:space="0"/>
              <w:bottom w:val="single" w:color="000000" w:sz="4" w:space="0"/>
              <w:right w:val="single" w:color="000000" w:sz="4" w:space="0"/>
            </w:tcBorders>
            <w:shd w:val="clear" w:color="auto" w:fill="auto"/>
            <w:vAlign w:val="center"/>
          </w:tcPr>
          <w:p w14:paraId="183DBDC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w:t>
            </w:r>
          </w:p>
        </w:tc>
        <w:tc>
          <w:tcPr>
            <w:tcW w:w="10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57DBA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040504001002</w:t>
            </w:r>
          </w:p>
        </w:tc>
        <w:tc>
          <w:tcPr>
            <w:tcW w:w="13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A00F38">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现浇井（全砼）</w:t>
            </w:r>
          </w:p>
        </w:tc>
        <w:tc>
          <w:tcPr>
            <w:tcW w:w="260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4A387B">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1.名称</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现浇</w:t>
            </w:r>
            <w:r>
              <w:rPr>
                <w:rFonts w:hint="eastAsia" w:ascii="宋体" w:hAnsi="宋体" w:eastAsia="宋体" w:cs="宋体"/>
                <w:color w:val="auto"/>
                <w:spacing w:val="-2"/>
                <w:sz w:val="21"/>
                <w:highlight w:val="none"/>
                <w:lang w:eastAsia="zh-CN"/>
              </w:rPr>
              <w:t>四眼</w:t>
            </w:r>
            <w:r>
              <w:rPr>
                <w:rFonts w:ascii="宋体" w:hAnsi="宋体" w:eastAsia="宋体" w:cs="宋体"/>
                <w:color w:val="auto"/>
                <w:spacing w:val="-2"/>
                <w:sz w:val="21"/>
                <w:highlight w:val="none"/>
              </w:rPr>
              <w:t>电缆井</w:t>
            </w:r>
          </w:p>
          <w:p w14:paraId="4756AD89">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2.采用C15垫层，C25现浇混凝土</w:t>
            </w:r>
          </w:p>
          <w:p w14:paraId="34675917">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3.钢筋的净保护层厚度不小于25mm。</w:t>
            </w:r>
          </w:p>
          <w:p w14:paraId="51D0C85B">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4.井内壁用1:2水泥沙浆抹平</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排管口至井内壁部位做成喇叭口状。</w:t>
            </w:r>
          </w:p>
          <w:p w14:paraId="781E406C">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5.电缆敷设完毕后</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电缆与管口之间的空隙用防水防火材料封堵。</w:t>
            </w:r>
          </w:p>
          <w:p w14:paraId="72EB890C">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6.工作井上方地面设置电缆路径标识块</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并标明电缆路径方向。</w:t>
            </w:r>
          </w:p>
          <w:p w14:paraId="1C3ABCAF">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7.工作井长度根据电缆盖板数量计算。</w:t>
            </w:r>
          </w:p>
          <w:p w14:paraId="09FB5CB2">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8.工作井深度可根据实际需要进行调整。</w:t>
            </w:r>
          </w:p>
          <w:p w14:paraId="3E162EA3">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9.防盗高强铸铁盖板承载力应不低于50t。</w:t>
            </w:r>
          </w:p>
          <w:p w14:paraId="04A61AE2">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10.含挖填土方，具体做法详见现浇四页电缆井施工图</w:t>
            </w:r>
          </w:p>
        </w:tc>
        <w:tc>
          <w:tcPr>
            <w:tcW w:w="64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89CF1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座</w:t>
            </w:r>
          </w:p>
        </w:tc>
        <w:tc>
          <w:tcPr>
            <w:tcW w:w="9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65DF1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w:t>
            </w:r>
          </w:p>
        </w:tc>
        <w:tc>
          <w:tcPr>
            <w:tcW w:w="9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F56B84">
            <w:pPr>
              <w:spacing w:line="232" w:lineRule="auto"/>
              <w:jc w:val="right"/>
              <w:rPr>
                <w:rFonts w:ascii="宋体" w:hAnsi="宋体" w:eastAsia="宋体" w:cs="宋体"/>
                <w:color w:val="auto"/>
                <w:spacing w:val="-2"/>
                <w:sz w:val="21"/>
                <w:highlight w:val="none"/>
              </w:rPr>
            </w:pPr>
          </w:p>
        </w:tc>
        <w:tc>
          <w:tcPr>
            <w:tcW w:w="101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192AF7">
            <w:pPr>
              <w:spacing w:line="232" w:lineRule="auto"/>
              <w:jc w:val="right"/>
              <w:rPr>
                <w:rFonts w:ascii="宋体" w:hAnsi="宋体" w:eastAsia="宋体" w:cs="宋体"/>
                <w:color w:val="auto"/>
                <w:spacing w:val="-2"/>
                <w:sz w:val="21"/>
                <w:highlight w:val="none"/>
              </w:rPr>
            </w:pPr>
          </w:p>
        </w:tc>
        <w:tc>
          <w:tcPr>
            <w:tcW w:w="855" w:type="dxa"/>
            <w:vMerge w:val="restart"/>
            <w:tcBorders>
              <w:top w:val="single" w:color="000000" w:sz="4" w:space="0"/>
              <w:left w:val="single" w:color="000000" w:sz="4" w:space="0"/>
              <w:bottom w:val="single" w:color="000000" w:sz="4" w:space="0"/>
              <w:right w:val="single" w:color="000000" w:sz="10" w:space="0"/>
            </w:tcBorders>
            <w:shd w:val="clear" w:color="auto" w:fill="auto"/>
            <w:vAlign w:val="center"/>
          </w:tcPr>
          <w:p w14:paraId="00B27E8E">
            <w:pPr>
              <w:spacing w:line="232" w:lineRule="auto"/>
              <w:jc w:val="right"/>
              <w:rPr>
                <w:rFonts w:ascii="宋体" w:hAnsi="宋体" w:eastAsia="宋体" w:cs="宋体"/>
                <w:color w:val="auto"/>
                <w:spacing w:val="-2"/>
                <w:sz w:val="21"/>
                <w:highlight w:val="none"/>
              </w:rPr>
            </w:pPr>
          </w:p>
        </w:tc>
      </w:tr>
      <w:tr w14:paraId="51668588">
        <w:tblPrEx>
          <w:tblCellMar>
            <w:top w:w="0" w:type="dxa"/>
            <w:left w:w="0" w:type="dxa"/>
            <w:bottom w:w="0" w:type="dxa"/>
            <w:right w:w="0" w:type="dxa"/>
          </w:tblCellMar>
        </w:tblPrEx>
        <w:trPr>
          <w:trHeight w:val="1433" w:hRule="exact"/>
        </w:trPr>
        <w:tc>
          <w:tcPr>
            <w:tcW w:w="544" w:type="dxa"/>
            <w:vMerge w:val="continue"/>
            <w:tcBorders>
              <w:top w:val="single" w:color="000000" w:sz="4" w:space="0"/>
              <w:left w:val="single" w:color="000000" w:sz="10" w:space="0"/>
              <w:bottom w:val="single" w:color="000000" w:sz="4" w:space="0"/>
              <w:right w:val="single" w:color="000000" w:sz="4" w:space="0"/>
            </w:tcBorders>
            <w:shd w:val="clear" w:color="auto" w:fill="auto"/>
            <w:vAlign w:val="center"/>
          </w:tcPr>
          <w:p w14:paraId="205F5DAE">
            <w:pPr>
              <w:rPr>
                <w:color w:val="auto"/>
                <w:highlight w:val="none"/>
              </w:rPr>
            </w:pPr>
          </w:p>
        </w:tc>
        <w:tc>
          <w:tcPr>
            <w:tcW w:w="10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77B9C4">
            <w:pPr>
              <w:rPr>
                <w:color w:val="auto"/>
                <w:highlight w:val="none"/>
              </w:rPr>
            </w:pPr>
          </w:p>
        </w:tc>
        <w:tc>
          <w:tcPr>
            <w:tcW w:w="13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42330">
            <w:pPr>
              <w:rPr>
                <w:color w:val="auto"/>
                <w:highlight w:val="none"/>
              </w:rPr>
            </w:pPr>
          </w:p>
        </w:tc>
        <w:tc>
          <w:tcPr>
            <w:tcW w:w="260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7CA2BA">
            <w:pPr>
              <w:rPr>
                <w:color w:val="auto"/>
                <w:highlight w:val="none"/>
              </w:rPr>
            </w:pPr>
          </w:p>
        </w:tc>
        <w:tc>
          <w:tcPr>
            <w:tcW w:w="6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E61FCD">
            <w:pPr>
              <w:rPr>
                <w:color w:val="auto"/>
                <w:highlight w:val="none"/>
              </w:rPr>
            </w:pPr>
          </w:p>
        </w:tc>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5C2816">
            <w:pPr>
              <w:jc w:val="center"/>
              <w:rPr>
                <w:color w:val="auto"/>
                <w:highlight w:val="none"/>
              </w:rPr>
            </w:pPr>
          </w:p>
        </w:tc>
        <w:tc>
          <w:tcPr>
            <w:tcW w:w="9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09B79C">
            <w:pPr>
              <w:rPr>
                <w:color w:val="auto"/>
                <w:highlight w:val="none"/>
              </w:rPr>
            </w:pPr>
          </w:p>
        </w:tc>
        <w:tc>
          <w:tcPr>
            <w:tcW w:w="101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99EF41">
            <w:pPr>
              <w:rPr>
                <w:color w:val="auto"/>
                <w:highlight w:val="none"/>
              </w:rPr>
            </w:pPr>
          </w:p>
        </w:tc>
        <w:tc>
          <w:tcPr>
            <w:tcW w:w="855" w:type="dxa"/>
            <w:vMerge w:val="continue"/>
            <w:tcBorders>
              <w:top w:val="single" w:color="000000" w:sz="4" w:space="0"/>
              <w:left w:val="single" w:color="000000" w:sz="4" w:space="0"/>
              <w:bottom w:val="single" w:color="000000" w:sz="4" w:space="0"/>
              <w:right w:val="single" w:color="000000" w:sz="10" w:space="0"/>
            </w:tcBorders>
            <w:shd w:val="clear" w:color="auto" w:fill="auto"/>
            <w:vAlign w:val="center"/>
          </w:tcPr>
          <w:p w14:paraId="267685E7">
            <w:pPr>
              <w:rPr>
                <w:color w:val="auto"/>
                <w:highlight w:val="none"/>
              </w:rPr>
            </w:pPr>
          </w:p>
        </w:tc>
      </w:tr>
      <w:tr w14:paraId="73CEFF01">
        <w:tblPrEx>
          <w:tblCellMar>
            <w:top w:w="0" w:type="dxa"/>
            <w:left w:w="0" w:type="dxa"/>
            <w:bottom w:w="0" w:type="dxa"/>
            <w:right w:w="0" w:type="dxa"/>
          </w:tblCellMar>
        </w:tblPrEx>
        <w:trPr>
          <w:trHeight w:val="1433" w:hRule="exact"/>
        </w:trPr>
        <w:tc>
          <w:tcPr>
            <w:tcW w:w="544" w:type="dxa"/>
            <w:vMerge w:val="continue"/>
            <w:tcBorders>
              <w:top w:val="single" w:color="000000" w:sz="4" w:space="0"/>
              <w:left w:val="single" w:color="000000" w:sz="10" w:space="0"/>
              <w:bottom w:val="single" w:color="000000" w:sz="4" w:space="0"/>
              <w:right w:val="single" w:color="000000" w:sz="4" w:space="0"/>
            </w:tcBorders>
            <w:shd w:val="clear" w:color="auto" w:fill="auto"/>
            <w:vAlign w:val="center"/>
          </w:tcPr>
          <w:p w14:paraId="1DBB0898">
            <w:pPr>
              <w:rPr>
                <w:color w:val="auto"/>
                <w:highlight w:val="none"/>
              </w:rPr>
            </w:pPr>
          </w:p>
        </w:tc>
        <w:tc>
          <w:tcPr>
            <w:tcW w:w="10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90BFDD">
            <w:pPr>
              <w:rPr>
                <w:color w:val="auto"/>
                <w:highlight w:val="none"/>
              </w:rPr>
            </w:pPr>
          </w:p>
        </w:tc>
        <w:tc>
          <w:tcPr>
            <w:tcW w:w="13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939B84">
            <w:pPr>
              <w:rPr>
                <w:color w:val="auto"/>
                <w:highlight w:val="none"/>
              </w:rPr>
            </w:pPr>
          </w:p>
        </w:tc>
        <w:tc>
          <w:tcPr>
            <w:tcW w:w="260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E8DD3D">
            <w:pPr>
              <w:rPr>
                <w:color w:val="auto"/>
                <w:highlight w:val="none"/>
              </w:rPr>
            </w:pPr>
          </w:p>
        </w:tc>
        <w:tc>
          <w:tcPr>
            <w:tcW w:w="6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B181F5">
            <w:pPr>
              <w:rPr>
                <w:color w:val="auto"/>
                <w:highlight w:val="none"/>
              </w:rPr>
            </w:pPr>
          </w:p>
        </w:tc>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086C12">
            <w:pPr>
              <w:jc w:val="center"/>
              <w:rPr>
                <w:color w:val="auto"/>
                <w:highlight w:val="none"/>
              </w:rPr>
            </w:pPr>
          </w:p>
        </w:tc>
        <w:tc>
          <w:tcPr>
            <w:tcW w:w="9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459FD">
            <w:pPr>
              <w:rPr>
                <w:color w:val="auto"/>
                <w:highlight w:val="none"/>
              </w:rPr>
            </w:pPr>
          </w:p>
        </w:tc>
        <w:tc>
          <w:tcPr>
            <w:tcW w:w="101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28680E">
            <w:pPr>
              <w:rPr>
                <w:color w:val="auto"/>
                <w:highlight w:val="none"/>
              </w:rPr>
            </w:pPr>
          </w:p>
        </w:tc>
        <w:tc>
          <w:tcPr>
            <w:tcW w:w="855" w:type="dxa"/>
            <w:vMerge w:val="continue"/>
            <w:tcBorders>
              <w:top w:val="single" w:color="000000" w:sz="4" w:space="0"/>
              <w:left w:val="single" w:color="000000" w:sz="4" w:space="0"/>
              <w:bottom w:val="single" w:color="000000" w:sz="4" w:space="0"/>
              <w:right w:val="single" w:color="000000" w:sz="10" w:space="0"/>
            </w:tcBorders>
            <w:shd w:val="clear" w:color="auto" w:fill="auto"/>
            <w:vAlign w:val="center"/>
          </w:tcPr>
          <w:p w14:paraId="47528DEB">
            <w:pPr>
              <w:rPr>
                <w:color w:val="auto"/>
                <w:highlight w:val="none"/>
              </w:rPr>
            </w:pPr>
          </w:p>
        </w:tc>
      </w:tr>
      <w:tr w14:paraId="12E49F32">
        <w:tblPrEx>
          <w:tblCellMar>
            <w:top w:w="0" w:type="dxa"/>
            <w:left w:w="0" w:type="dxa"/>
            <w:bottom w:w="0" w:type="dxa"/>
            <w:right w:w="0" w:type="dxa"/>
          </w:tblCellMar>
        </w:tblPrEx>
        <w:trPr>
          <w:trHeight w:val="1304" w:hRule="exact"/>
        </w:trPr>
        <w:tc>
          <w:tcPr>
            <w:tcW w:w="544" w:type="dxa"/>
            <w:vMerge w:val="continue"/>
            <w:tcBorders>
              <w:top w:val="single" w:color="000000" w:sz="4" w:space="0"/>
              <w:left w:val="single" w:color="000000" w:sz="10" w:space="0"/>
              <w:bottom w:val="single" w:color="000000" w:sz="4" w:space="0"/>
              <w:right w:val="single" w:color="000000" w:sz="4" w:space="0"/>
            </w:tcBorders>
            <w:shd w:val="clear" w:color="auto" w:fill="auto"/>
            <w:vAlign w:val="center"/>
          </w:tcPr>
          <w:p w14:paraId="72EE7134">
            <w:pPr>
              <w:rPr>
                <w:color w:val="auto"/>
                <w:highlight w:val="none"/>
              </w:rPr>
            </w:pPr>
          </w:p>
        </w:tc>
        <w:tc>
          <w:tcPr>
            <w:tcW w:w="10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B76136">
            <w:pPr>
              <w:rPr>
                <w:color w:val="auto"/>
                <w:highlight w:val="none"/>
              </w:rPr>
            </w:pPr>
          </w:p>
        </w:tc>
        <w:tc>
          <w:tcPr>
            <w:tcW w:w="13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CD7478">
            <w:pPr>
              <w:rPr>
                <w:color w:val="auto"/>
                <w:highlight w:val="none"/>
              </w:rPr>
            </w:pPr>
          </w:p>
        </w:tc>
        <w:tc>
          <w:tcPr>
            <w:tcW w:w="260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475870">
            <w:pPr>
              <w:rPr>
                <w:color w:val="auto"/>
                <w:highlight w:val="none"/>
              </w:rPr>
            </w:pPr>
          </w:p>
        </w:tc>
        <w:tc>
          <w:tcPr>
            <w:tcW w:w="6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432456">
            <w:pPr>
              <w:rPr>
                <w:color w:val="auto"/>
                <w:highlight w:val="none"/>
              </w:rPr>
            </w:pPr>
          </w:p>
        </w:tc>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A99CE9">
            <w:pPr>
              <w:jc w:val="center"/>
              <w:rPr>
                <w:color w:val="auto"/>
                <w:highlight w:val="none"/>
              </w:rPr>
            </w:pPr>
          </w:p>
        </w:tc>
        <w:tc>
          <w:tcPr>
            <w:tcW w:w="9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11D628">
            <w:pPr>
              <w:rPr>
                <w:color w:val="auto"/>
                <w:highlight w:val="none"/>
              </w:rPr>
            </w:pPr>
          </w:p>
        </w:tc>
        <w:tc>
          <w:tcPr>
            <w:tcW w:w="101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70FECD">
            <w:pPr>
              <w:rPr>
                <w:color w:val="auto"/>
                <w:highlight w:val="none"/>
              </w:rPr>
            </w:pPr>
          </w:p>
        </w:tc>
        <w:tc>
          <w:tcPr>
            <w:tcW w:w="855" w:type="dxa"/>
            <w:vMerge w:val="continue"/>
            <w:tcBorders>
              <w:top w:val="single" w:color="000000" w:sz="4" w:space="0"/>
              <w:left w:val="single" w:color="000000" w:sz="4" w:space="0"/>
              <w:bottom w:val="single" w:color="000000" w:sz="4" w:space="0"/>
              <w:right w:val="single" w:color="000000" w:sz="10" w:space="0"/>
            </w:tcBorders>
            <w:shd w:val="clear" w:color="auto" w:fill="auto"/>
            <w:vAlign w:val="center"/>
          </w:tcPr>
          <w:p w14:paraId="111EC69A">
            <w:pPr>
              <w:rPr>
                <w:color w:val="auto"/>
                <w:highlight w:val="none"/>
              </w:rPr>
            </w:pPr>
          </w:p>
        </w:tc>
      </w:tr>
      <w:tr w14:paraId="5646E748">
        <w:tblPrEx>
          <w:tblCellMar>
            <w:top w:w="0" w:type="dxa"/>
            <w:left w:w="0" w:type="dxa"/>
            <w:bottom w:w="0" w:type="dxa"/>
            <w:right w:w="0" w:type="dxa"/>
          </w:tblCellMar>
        </w:tblPrEx>
        <w:trPr>
          <w:trHeight w:val="442" w:hRule="exact"/>
        </w:trPr>
        <w:tc>
          <w:tcPr>
            <w:tcW w:w="544" w:type="dxa"/>
            <w:vMerge w:val="continue"/>
            <w:tcBorders>
              <w:top w:val="single" w:color="000000" w:sz="4" w:space="0"/>
              <w:left w:val="single" w:color="000000" w:sz="10" w:space="0"/>
              <w:bottom w:val="single" w:color="000000" w:sz="4" w:space="0"/>
              <w:right w:val="single" w:color="000000" w:sz="4" w:space="0"/>
            </w:tcBorders>
            <w:shd w:val="clear" w:color="auto" w:fill="auto"/>
            <w:vAlign w:val="center"/>
          </w:tcPr>
          <w:p w14:paraId="1D02AB61">
            <w:pPr>
              <w:rPr>
                <w:color w:val="auto"/>
                <w:highlight w:val="none"/>
              </w:rPr>
            </w:pPr>
          </w:p>
        </w:tc>
        <w:tc>
          <w:tcPr>
            <w:tcW w:w="10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B19183">
            <w:pPr>
              <w:rPr>
                <w:color w:val="auto"/>
                <w:highlight w:val="none"/>
              </w:rPr>
            </w:pPr>
          </w:p>
        </w:tc>
        <w:tc>
          <w:tcPr>
            <w:tcW w:w="13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5434C">
            <w:pPr>
              <w:rPr>
                <w:color w:val="auto"/>
                <w:highlight w:val="none"/>
              </w:rPr>
            </w:pPr>
          </w:p>
        </w:tc>
        <w:tc>
          <w:tcPr>
            <w:tcW w:w="260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1DAAC0">
            <w:pPr>
              <w:rPr>
                <w:color w:val="auto"/>
                <w:highlight w:val="none"/>
              </w:rPr>
            </w:pPr>
          </w:p>
        </w:tc>
        <w:tc>
          <w:tcPr>
            <w:tcW w:w="6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394484">
            <w:pPr>
              <w:rPr>
                <w:color w:val="auto"/>
                <w:highlight w:val="none"/>
              </w:rPr>
            </w:pPr>
          </w:p>
        </w:tc>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9B2320">
            <w:pPr>
              <w:jc w:val="center"/>
              <w:rPr>
                <w:color w:val="auto"/>
                <w:highlight w:val="none"/>
              </w:rPr>
            </w:pPr>
          </w:p>
        </w:tc>
        <w:tc>
          <w:tcPr>
            <w:tcW w:w="9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366379">
            <w:pPr>
              <w:rPr>
                <w:color w:val="auto"/>
                <w:highlight w:val="none"/>
              </w:rPr>
            </w:pPr>
          </w:p>
        </w:tc>
        <w:tc>
          <w:tcPr>
            <w:tcW w:w="101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B832ED">
            <w:pPr>
              <w:rPr>
                <w:color w:val="auto"/>
                <w:highlight w:val="none"/>
              </w:rPr>
            </w:pPr>
          </w:p>
        </w:tc>
        <w:tc>
          <w:tcPr>
            <w:tcW w:w="855" w:type="dxa"/>
            <w:vMerge w:val="continue"/>
            <w:tcBorders>
              <w:top w:val="single" w:color="000000" w:sz="4" w:space="0"/>
              <w:left w:val="single" w:color="000000" w:sz="4" w:space="0"/>
              <w:bottom w:val="single" w:color="000000" w:sz="4" w:space="0"/>
              <w:right w:val="single" w:color="000000" w:sz="10" w:space="0"/>
            </w:tcBorders>
            <w:shd w:val="clear" w:color="auto" w:fill="auto"/>
            <w:vAlign w:val="center"/>
          </w:tcPr>
          <w:p w14:paraId="137D1BF7">
            <w:pPr>
              <w:rPr>
                <w:color w:val="auto"/>
                <w:highlight w:val="none"/>
              </w:rPr>
            </w:pPr>
          </w:p>
        </w:tc>
      </w:tr>
      <w:tr w14:paraId="300345A2">
        <w:tblPrEx>
          <w:tblCellMar>
            <w:top w:w="0" w:type="dxa"/>
            <w:left w:w="0" w:type="dxa"/>
            <w:bottom w:w="0" w:type="dxa"/>
            <w:right w:w="0" w:type="dxa"/>
          </w:tblCellMar>
        </w:tblPrEx>
        <w:trPr>
          <w:trHeight w:val="1404"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4B1FB5B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ABA0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010302001001</w:t>
            </w: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88B6E">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钢管杆（塔）Q355-10kV双回分支带低压（7基）</w:t>
            </w:r>
          </w:p>
        </w:tc>
        <w:tc>
          <w:tcPr>
            <w:tcW w:w="26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6916F5">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空桩长度、桩长：9米，桩径：2米，3、成孔方法：泥浆护壁成孔灌注桩4、混凝土种类、强度等级：C25</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078C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m3</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1EAA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123.53</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7A456">
            <w:pPr>
              <w:spacing w:line="232" w:lineRule="auto"/>
              <w:jc w:val="right"/>
              <w:rPr>
                <w:rFonts w:ascii="宋体" w:hAnsi="宋体" w:eastAsia="宋体" w:cs="宋体"/>
                <w:color w:val="auto"/>
                <w:spacing w:val="-2"/>
                <w:sz w:val="21"/>
                <w:highlight w:val="none"/>
              </w:rPr>
            </w:pPr>
          </w:p>
        </w:tc>
        <w:tc>
          <w:tcPr>
            <w:tcW w:w="10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CF0D17">
            <w:pPr>
              <w:spacing w:line="232" w:lineRule="auto"/>
              <w:jc w:val="right"/>
              <w:rPr>
                <w:rFonts w:ascii="宋体" w:hAnsi="宋体" w:eastAsia="宋体" w:cs="宋体"/>
                <w:color w:val="auto"/>
                <w:spacing w:val="-2"/>
                <w:sz w:val="21"/>
                <w:highlight w:val="none"/>
              </w:rPr>
            </w:pPr>
          </w:p>
        </w:tc>
        <w:tc>
          <w:tcPr>
            <w:tcW w:w="85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4E7A40C0">
            <w:pPr>
              <w:spacing w:line="232" w:lineRule="auto"/>
              <w:jc w:val="right"/>
              <w:rPr>
                <w:rFonts w:ascii="宋体" w:hAnsi="宋体" w:eastAsia="宋体" w:cs="宋体"/>
                <w:color w:val="auto"/>
                <w:spacing w:val="-2"/>
                <w:sz w:val="21"/>
                <w:highlight w:val="none"/>
              </w:rPr>
            </w:pPr>
          </w:p>
        </w:tc>
      </w:tr>
      <w:tr w14:paraId="2DACBFE1">
        <w:tblPrEx>
          <w:tblCellMar>
            <w:top w:w="0" w:type="dxa"/>
            <w:left w:w="0" w:type="dxa"/>
            <w:bottom w:w="0" w:type="dxa"/>
            <w:right w:w="0" w:type="dxa"/>
          </w:tblCellMar>
        </w:tblPrEx>
        <w:trPr>
          <w:trHeight w:val="1418"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7091CD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8AEE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040803003009</w:t>
            </w: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09861">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电缆排管</w:t>
            </w:r>
          </w:p>
        </w:tc>
        <w:tc>
          <w:tcPr>
            <w:tcW w:w="26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79E4DF">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1.</w:t>
            </w:r>
            <w:r>
              <w:rPr>
                <w:rFonts w:ascii="宋体" w:hAnsi="宋体" w:eastAsia="宋体" w:cs="宋体"/>
                <w:color w:val="auto"/>
                <w:spacing w:val="-2"/>
                <w:sz w:val="21"/>
                <w:highlight w:val="none"/>
              </w:rPr>
              <w:t>名称：六回管道</w:t>
            </w:r>
          </w:p>
          <w:p w14:paraId="0D59B529">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2.</w:t>
            </w:r>
            <w:r>
              <w:rPr>
                <w:rFonts w:ascii="宋体" w:hAnsi="宋体" w:eastAsia="宋体" w:cs="宋体"/>
                <w:color w:val="auto"/>
                <w:spacing w:val="-2"/>
                <w:sz w:val="21"/>
                <w:highlight w:val="none"/>
              </w:rPr>
              <w:t>型号：混凝土包封</w:t>
            </w:r>
          </w:p>
          <w:p w14:paraId="0E24DF83">
            <w:pPr>
              <w:spacing w:line="232" w:lineRule="auto"/>
              <w:rPr>
                <w:rFonts w:ascii="宋体" w:hAnsi="宋体" w:eastAsia="宋体" w:cs="宋体"/>
                <w:color w:val="auto"/>
                <w:spacing w:val="-2"/>
                <w:sz w:val="21"/>
                <w:highlight w:val="none"/>
              </w:rPr>
            </w:pPr>
            <w:r>
              <w:rPr>
                <w:rFonts w:hint="eastAsia" w:ascii="宋体" w:hAnsi="宋体" w:eastAsia="宋体" w:cs="宋体"/>
                <w:color w:val="auto"/>
                <w:spacing w:val="-2"/>
                <w:sz w:val="21"/>
                <w:highlight w:val="none"/>
                <w:lang w:eastAsia="zh-CN"/>
              </w:rPr>
              <w:t>3.</w:t>
            </w:r>
            <w:r>
              <w:rPr>
                <w:rFonts w:ascii="宋体" w:hAnsi="宋体" w:eastAsia="宋体" w:cs="宋体"/>
                <w:color w:val="auto"/>
                <w:spacing w:val="-2"/>
                <w:sz w:val="21"/>
                <w:highlight w:val="none"/>
              </w:rPr>
              <w:t>材质：CPVC</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内径</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φ200</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壁厚</w:t>
            </w:r>
            <w:r>
              <w:rPr>
                <w:rFonts w:hint="eastAsia" w:ascii="宋体" w:hAnsi="宋体" w:eastAsia="宋体" w:cs="宋体"/>
                <w:color w:val="auto"/>
                <w:spacing w:val="-2"/>
                <w:sz w:val="21"/>
                <w:highlight w:val="none"/>
                <w:lang w:eastAsia="zh-CN"/>
              </w:rPr>
              <w:t>：</w:t>
            </w:r>
            <w:r>
              <w:rPr>
                <w:rFonts w:ascii="宋体" w:hAnsi="宋体" w:eastAsia="宋体" w:cs="宋体"/>
                <w:color w:val="auto"/>
                <w:spacing w:val="-2"/>
                <w:sz w:val="21"/>
                <w:highlight w:val="none"/>
              </w:rPr>
              <w:t>16mm</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2392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44E1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150</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9CB77">
            <w:pPr>
              <w:spacing w:line="232" w:lineRule="auto"/>
              <w:jc w:val="right"/>
              <w:rPr>
                <w:rFonts w:ascii="宋体" w:hAnsi="宋体" w:eastAsia="宋体" w:cs="宋体"/>
                <w:color w:val="auto"/>
                <w:spacing w:val="-2"/>
                <w:sz w:val="21"/>
                <w:highlight w:val="none"/>
              </w:rPr>
            </w:pPr>
          </w:p>
        </w:tc>
        <w:tc>
          <w:tcPr>
            <w:tcW w:w="10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38C191">
            <w:pPr>
              <w:spacing w:line="232" w:lineRule="auto"/>
              <w:jc w:val="right"/>
              <w:rPr>
                <w:rFonts w:ascii="宋体" w:hAnsi="宋体" w:eastAsia="宋体" w:cs="宋体"/>
                <w:color w:val="auto"/>
                <w:spacing w:val="-2"/>
                <w:sz w:val="21"/>
                <w:highlight w:val="none"/>
              </w:rPr>
            </w:pPr>
          </w:p>
        </w:tc>
        <w:tc>
          <w:tcPr>
            <w:tcW w:w="85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2889B85D">
            <w:pPr>
              <w:spacing w:line="232" w:lineRule="auto"/>
              <w:jc w:val="right"/>
              <w:rPr>
                <w:rFonts w:ascii="宋体" w:hAnsi="宋体" w:eastAsia="宋体" w:cs="宋体"/>
                <w:color w:val="auto"/>
                <w:spacing w:val="-2"/>
                <w:sz w:val="21"/>
                <w:highlight w:val="none"/>
              </w:rPr>
            </w:pPr>
          </w:p>
        </w:tc>
      </w:tr>
      <w:tr w14:paraId="664B749F">
        <w:tblPrEx>
          <w:tblCellMar>
            <w:top w:w="0" w:type="dxa"/>
            <w:left w:w="0" w:type="dxa"/>
            <w:bottom w:w="0" w:type="dxa"/>
            <w:right w:w="0" w:type="dxa"/>
          </w:tblCellMar>
        </w:tblPrEx>
        <w:trPr>
          <w:trHeight w:val="330"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01F2D52">
            <w:pPr>
              <w:spacing w:line="232" w:lineRule="auto"/>
              <w:jc w:val="center"/>
              <w:rPr>
                <w:rFonts w:ascii="宋体" w:hAnsi="宋体" w:eastAsia="宋体" w:cs="宋体"/>
                <w:color w:val="auto"/>
                <w:spacing w:val="-2"/>
                <w:sz w:val="21"/>
                <w:highlight w:val="none"/>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A6CBD">
            <w:pPr>
              <w:spacing w:line="232" w:lineRule="auto"/>
              <w:jc w:val="center"/>
              <w:rPr>
                <w:rFonts w:ascii="宋体" w:hAnsi="宋体" w:eastAsia="宋体" w:cs="宋体"/>
                <w:color w:val="auto"/>
                <w:spacing w:val="-2"/>
                <w:sz w:val="21"/>
                <w:highlight w:val="none"/>
              </w:rPr>
            </w:pPr>
          </w:p>
        </w:tc>
        <w:tc>
          <w:tcPr>
            <w:tcW w:w="394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81CAD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分部分项合计</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FB1E8">
            <w:pPr>
              <w:spacing w:line="232" w:lineRule="auto"/>
              <w:jc w:val="center"/>
              <w:rPr>
                <w:rFonts w:ascii="宋体" w:hAnsi="宋体" w:eastAsia="宋体" w:cs="宋体"/>
                <w:color w:val="auto"/>
                <w:spacing w:val="-2"/>
                <w:sz w:val="21"/>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96FFD">
            <w:pPr>
              <w:spacing w:line="232" w:lineRule="auto"/>
              <w:jc w:val="right"/>
              <w:rPr>
                <w:rFonts w:ascii="宋体" w:hAnsi="宋体" w:eastAsia="宋体" w:cs="宋体"/>
                <w:color w:val="auto"/>
                <w:spacing w:val="-2"/>
                <w:sz w:val="21"/>
                <w:highlight w:val="none"/>
              </w:rPr>
            </w:pPr>
            <w:r>
              <w:rPr>
                <w:rFonts w:ascii="宋体" w:hAnsi="宋体" w:eastAsia="宋体" w:cs="宋体"/>
                <w:color w:val="auto"/>
                <w:spacing w:val="-2"/>
                <w:sz w:val="21"/>
                <w:highlight w:val="none"/>
              </w:rPr>
              <w:t xml:space="preserve"> </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1704D">
            <w:pPr>
              <w:spacing w:line="232" w:lineRule="auto"/>
              <w:jc w:val="right"/>
              <w:rPr>
                <w:rFonts w:ascii="宋体" w:hAnsi="宋体" w:eastAsia="宋体" w:cs="宋体"/>
                <w:color w:val="auto"/>
                <w:spacing w:val="-2"/>
                <w:sz w:val="21"/>
                <w:highlight w:val="none"/>
              </w:rPr>
            </w:pPr>
          </w:p>
        </w:tc>
        <w:tc>
          <w:tcPr>
            <w:tcW w:w="10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FDE447">
            <w:pPr>
              <w:spacing w:line="232" w:lineRule="auto"/>
              <w:jc w:val="right"/>
              <w:rPr>
                <w:rFonts w:ascii="宋体" w:hAnsi="宋体" w:eastAsia="宋体" w:cs="宋体"/>
                <w:color w:val="auto"/>
                <w:spacing w:val="-2"/>
                <w:sz w:val="21"/>
                <w:highlight w:val="none"/>
              </w:rPr>
            </w:pPr>
          </w:p>
        </w:tc>
        <w:tc>
          <w:tcPr>
            <w:tcW w:w="85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564FDACB">
            <w:pPr>
              <w:spacing w:line="232" w:lineRule="auto"/>
              <w:jc w:val="right"/>
              <w:rPr>
                <w:rFonts w:ascii="宋体" w:hAnsi="宋体" w:eastAsia="宋体" w:cs="宋体"/>
                <w:color w:val="auto"/>
                <w:spacing w:val="-2"/>
                <w:sz w:val="21"/>
                <w:highlight w:val="none"/>
              </w:rPr>
            </w:pPr>
          </w:p>
        </w:tc>
      </w:tr>
      <w:tr w14:paraId="15EAB76A">
        <w:tblPrEx>
          <w:tblCellMar>
            <w:top w:w="0" w:type="dxa"/>
            <w:left w:w="0" w:type="dxa"/>
            <w:bottom w:w="0" w:type="dxa"/>
            <w:right w:w="0" w:type="dxa"/>
          </w:tblCellMar>
        </w:tblPrEx>
        <w:trPr>
          <w:trHeight w:val="344"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6692847">
            <w:pPr>
              <w:spacing w:line="232" w:lineRule="auto"/>
              <w:jc w:val="center"/>
              <w:rPr>
                <w:rFonts w:ascii="宋体" w:hAnsi="宋体" w:eastAsia="宋体" w:cs="宋体"/>
                <w:color w:val="auto"/>
                <w:spacing w:val="-2"/>
                <w:sz w:val="21"/>
                <w:highlight w:val="none"/>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5C272">
            <w:pPr>
              <w:spacing w:line="232" w:lineRule="auto"/>
              <w:jc w:val="center"/>
              <w:rPr>
                <w:rFonts w:ascii="宋体" w:hAnsi="宋体" w:eastAsia="宋体" w:cs="宋体"/>
                <w:color w:val="auto"/>
                <w:spacing w:val="-2"/>
                <w:sz w:val="21"/>
                <w:highlight w:val="none"/>
              </w:rPr>
            </w:pP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F6B13">
            <w:pPr>
              <w:spacing w:line="232" w:lineRule="auto"/>
              <w:rPr>
                <w:rFonts w:ascii="宋体" w:hAnsi="宋体" w:eastAsia="宋体" w:cs="宋体"/>
                <w:color w:val="auto"/>
                <w:spacing w:val="-2"/>
                <w:sz w:val="21"/>
                <w:highlight w:val="none"/>
              </w:rPr>
            </w:pPr>
          </w:p>
        </w:tc>
        <w:tc>
          <w:tcPr>
            <w:tcW w:w="26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D01696">
            <w:pPr>
              <w:spacing w:line="232" w:lineRule="auto"/>
              <w:rPr>
                <w:rFonts w:ascii="宋体" w:hAnsi="宋体" w:eastAsia="宋体" w:cs="宋体"/>
                <w:color w:val="auto"/>
                <w:spacing w:val="-2"/>
                <w:sz w:val="21"/>
                <w:highlight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73EC9">
            <w:pPr>
              <w:spacing w:line="232" w:lineRule="auto"/>
              <w:jc w:val="center"/>
              <w:rPr>
                <w:rFonts w:ascii="宋体" w:hAnsi="宋体" w:eastAsia="宋体" w:cs="宋体"/>
                <w:color w:val="auto"/>
                <w:spacing w:val="-2"/>
                <w:sz w:val="21"/>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FBB63">
            <w:pPr>
              <w:spacing w:line="232" w:lineRule="auto"/>
              <w:jc w:val="right"/>
              <w:rPr>
                <w:rFonts w:ascii="宋体" w:hAnsi="宋体" w:eastAsia="宋体" w:cs="宋体"/>
                <w:color w:val="auto"/>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581FA">
            <w:pPr>
              <w:spacing w:line="232" w:lineRule="auto"/>
              <w:jc w:val="right"/>
              <w:rPr>
                <w:rFonts w:ascii="宋体" w:hAnsi="宋体" w:eastAsia="宋体" w:cs="宋体"/>
                <w:color w:val="auto"/>
                <w:spacing w:val="-2"/>
                <w:sz w:val="21"/>
                <w:highlight w:val="none"/>
              </w:rPr>
            </w:pPr>
          </w:p>
        </w:tc>
        <w:tc>
          <w:tcPr>
            <w:tcW w:w="10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93F9DE">
            <w:pPr>
              <w:spacing w:line="232" w:lineRule="auto"/>
              <w:jc w:val="right"/>
              <w:rPr>
                <w:rFonts w:ascii="宋体" w:hAnsi="宋体" w:eastAsia="宋体" w:cs="宋体"/>
                <w:color w:val="auto"/>
                <w:spacing w:val="-2"/>
                <w:sz w:val="21"/>
                <w:highlight w:val="none"/>
              </w:rPr>
            </w:pPr>
          </w:p>
        </w:tc>
        <w:tc>
          <w:tcPr>
            <w:tcW w:w="85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07D75AAC">
            <w:pPr>
              <w:spacing w:line="232" w:lineRule="auto"/>
              <w:jc w:val="right"/>
              <w:rPr>
                <w:rFonts w:ascii="宋体" w:hAnsi="宋体" w:eastAsia="宋体" w:cs="宋体"/>
                <w:color w:val="auto"/>
                <w:spacing w:val="-2"/>
                <w:sz w:val="21"/>
                <w:highlight w:val="none"/>
              </w:rPr>
            </w:pPr>
          </w:p>
        </w:tc>
      </w:tr>
      <w:tr w14:paraId="43725C51">
        <w:tblPrEx>
          <w:tblCellMar>
            <w:top w:w="0" w:type="dxa"/>
            <w:left w:w="0" w:type="dxa"/>
            <w:bottom w:w="0" w:type="dxa"/>
            <w:right w:w="0" w:type="dxa"/>
          </w:tblCellMar>
        </w:tblPrEx>
        <w:trPr>
          <w:trHeight w:val="344"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7A4E5B41">
            <w:pPr>
              <w:spacing w:line="232" w:lineRule="auto"/>
              <w:jc w:val="center"/>
              <w:rPr>
                <w:rFonts w:ascii="宋体" w:hAnsi="宋体" w:eastAsia="宋体" w:cs="宋体"/>
                <w:color w:val="auto"/>
                <w:spacing w:val="-2"/>
                <w:sz w:val="21"/>
                <w:highlight w:val="none"/>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E89E9">
            <w:pPr>
              <w:spacing w:line="232" w:lineRule="auto"/>
              <w:jc w:val="center"/>
              <w:rPr>
                <w:rFonts w:ascii="宋体" w:hAnsi="宋体" w:eastAsia="宋体" w:cs="宋体"/>
                <w:color w:val="auto"/>
                <w:spacing w:val="-2"/>
                <w:sz w:val="21"/>
                <w:highlight w:val="none"/>
              </w:rPr>
            </w:pP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6EE18">
            <w:pPr>
              <w:spacing w:line="232" w:lineRule="auto"/>
              <w:rPr>
                <w:rFonts w:ascii="宋体" w:hAnsi="宋体" w:eastAsia="宋体" w:cs="宋体"/>
                <w:color w:val="auto"/>
                <w:spacing w:val="-2"/>
                <w:sz w:val="21"/>
                <w:highlight w:val="none"/>
              </w:rPr>
            </w:pPr>
          </w:p>
        </w:tc>
        <w:tc>
          <w:tcPr>
            <w:tcW w:w="26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91D083">
            <w:pPr>
              <w:spacing w:line="232" w:lineRule="auto"/>
              <w:rPr>
                <w:rFonts w:ascii="宋体" w:hAnsi="宋体" w:eastAsia="宋体" w:cs="宋体"/>
                <w:color w:val="auto"/>
                <w:spacing w:val="-2"/>
                <w:sz w:val="21"/>
                <w:highlight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D3DBE">
            <w:pPr>
              <w:spacing w:line="232" w:lineRule="auto"/>
              <w:jc w:val="center"/>
              <w:rPr>
                <w:rFonts w:ascii="宋体" w:hAnsi="宋体" w:eastAsia="宋体" w:cs="宋体"/>
                <w:color w:val="auto"/>
                <w:spacing w:val="-2"/>
                <w:sz w:val="21"/>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3FF68">
            <w:pPr>
              <w:spacing w:line="232" w:lineRule="auto"/>
              <w:jc w:val="right"/>
              <w:rPr>
                <w:rFonts w:ascii="宋体" w:hAnsi="宋体" w:eastAsia="宋体" w:cs="宋体"/>
                <w:color w:val="auto"/>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CC629">
            <w:pPr>
              <w:spacing w:line="232" w:lineRule="auto"/>
              <w:jc w:val="right"/>
              <w:rPr>
                <w:rFonts w:ascii="宋体" w:hAnsi="宋体" w:eastAsia="宋体" w:cs="宋体"/>
                <w:color w:val="auto"/>
                <w:spacing w:val="-2"/>
                <w:sz w:val="21"/>
                <w:highlight w:val="none"/>
              </w:rPr>
            </w:pPr>
          </w:p>
        </w:tc>
        <w:tc>
          <w:tcPr>
            <w:tcW w:w="10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0534E5">
            <w:pPr>
              <w:spacing w:line="232" w:lineRule="auto"/>
              <w:jc w:val="right"/>
              <w:rPr>
                <w:rFonts w:ascii="宋体" w:hAnsi="宋体" w:eastAsia="宋体" w:cs="宋体"/>
                <w:color w:val="auto"/>
                <w:spacing w:val="-2"/>
                <w:sz w:val="21"/>
                <w:highlight w:val="none"/>
              </w:rPr>
            </w:pPr>
          </w:p>
        </w:tc>
        <w:tc>
          <w:tcPr>
            <w:tcW w:w="85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42DD2254">
            <w:pPr>
              <w:spacing w:line="232" w:lineRule="auto"/>
              <w:jc w:val="right"/>
              <w:rPr>
                <w:rFonts w:ascii="宋体" w:hAnsi="宋体" w:eastAsia="宋体" w:cs="宋体"/>
                <w:color w:val="auto"/>
                <w:spacing w:val="-2"/>
                <w:sz w:val="21"/>
                <w:highlight w:val="none"/>
              </w:rPr>
            </w:pPr>
          </w:p>
        </w:tc>
      </w:tr>
      <w:tr w14:paraId="01D8496C">
        <w:tblPrEx>
          <w:tblCellMar>
            <w:top w:w="0" w:type="dxa"/>
            <w:left w:w="0" w:type="dxa"/>
            <w:bottom w:w="0" w:type="dxa"/>
            <w:right w:w="0" w:type="dxa"/>
          </w:tblCellMar>
        </w:tblPrEx>
        <w:trPr>
          <w:trHeight w:val="329"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579CEDFB">
            <w:pPr>
              <w:spacing w:line="232" w:lineRule="auto"/>
              <w:jc w:val="center"/>
              <w:rPr>
                <w:rFonts w:ascii="宋体" w:hAnsi="宋体" w:eastAsia="宋体" w:cs="宋体"/>
                <w:color w:val="auto"/>
                <w:spacing w:val="-2"/>
                <w:sz w:val="21"/>
                <w:highlight w:val="none"/>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A6D5B">
            <w:pPr>
              <w:spacing w:line="232" w:lineRule="auto"/>
              <w:jc w:val="center"/>
              <w:rPr>
                <w:rFonts w:ascii="宋体" w:hAnsi="宋体" w:eastAsia="宋体" w:cs="宋体"/>
                <w:color w:val="auto"/>
                <w:spacing w:val="-2"/>
                <w:sz w:val="21"/>
                <w:highlight w:val="none"/>
              </w:rPr>
            </w:pP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F0C55">
            <w:pPr>
              <w:spacing w:line="232" w:lineRule="auto"/>
              <w:rPr>
                <w:rFonts w:ascii="宋体" w:hAnsi="宋体" w:eastAsia="宋体" w:cs="宋体"/>
                <w:color w:val="auto"/>
                <w:spacing w:val="-2"/>
                <w:sz w:val="21"/>
                <w:highlight w:val="none"/>
              </w:rPr>
            </w:pPr>
          </w:p>
        </w:tc>
        <w:tc>
          <w:tcPr>
            <w:tcW w:w="26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C3ABD7">
            <w:pPr>
              <w:spacing w:line="232" w:lineRule="auto"/>
              <w:rPr>
                <w:rFonts w:ascii="宋体" w:hAnsi="宋体" w:eastAsia="宋体" w:cs="宋体"/>
                <w:color w:val="auto"/>
                <w:spacing w:val="-2"/>
                <w:sz w:val="21"/>
                <w:highlight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A9A99">
            <w:pPr>
              <w:spacing w:line="232" w:lineRule="auto"/>
              <w:jc w:val="center"/>
              <w:rPr>
                <w:rFonts w:ascii="宋体" w:hAnsi="宋体" w:eastAsia="宋体" w:cs="宋体"/>
                <w:color w:val="auto"/>
                <w:spacing w:val="-2"/>
                <w:sz w:val="21"/>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7C8BC">
            <w:pPr>
              <w:spacing w:line="232" w:lineRule="auto"/>
              <w:jc w:val="right"/>
              <w:rPr>
                <w:rFonts w:ascii="宋体" w:hAnsi="宋体" w:eastAsia="宋体" w:cs="宋体"/>
                <w:color w:val="auto"/>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E80D0">
            <w:pPr>
              <w:spacing w:line="232" w:lineRule="auto"/>
              <w:jc w:val="right"/>
              <w:rPr>
                <w:rFonts w:ascii="宋体" w:hAnsi="宋体" w:eastAsia="宋体" w:cs="宋体"/>
                <w:color w:val="auto"/>
                <w:spacing w:val="-2"/>
                <w:sz w:val="21"/>
                <w:highlight w:val="none"/>
              </w:rPr>
            </w:pPr>
          </w:p>
        </w:tc>
        <w:tc>
          <w:tcPr>
            <w:tcW w:w="10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757637">
            <w:pPr>
              <w:spacing w:line="232" w:lineRule="auto"/>
              <w:jc w:val="right"/>
              <w:rPr>
                <w:rFonts w:ascii="宋体" w:hAnsi="宋体" w:eastAsia="宋体" w:cs="宋体"/>
                <w:color w:val="auto"/>
                <w:spacing w:val="-2"/>
                <w:sz w:val="21"/>
                <w:highlight w:val="none"/>
              </w:rPr>
            </w:pPr>
          </w:p>
        </w:tc>
        <w:tc>
          <w:tcPr>
            <w:tcW w:w="85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24FB1AC1">
            <w:pPr>
              <w:spacing w:line="232" w:lineRule="auto"/>
              <w:jc w:val="right"/>
              <w:rPr>
                <w:rFonts w:ascii="宋体" w:hAnsi="宋体" w:eastAsia="宋体" w:cs="宋体"/>
                <w:color w:val="auto"/>
                <w:spacing w:val="-2"/>
                <w:sz w:val="21"/>
                <w:highlight w:val="none"/>
              </w:rPr>
            </w:pPr>
          </w:p>
        </w:tc>
      </w:tr>
      <w:tr w14:paraId="10966CED">
        <w:tblPrEx>
          <w:tblCellMar>
            <w:top w:w="0" w:type="dxa"/>
            <w:left w:w="0" w:type="dxa"/>
            <w:bottom w:w="0" w:type="dxa"/>
            <w:right w:w="0" w:type="dxa"/>
          </w:tblCellMar>
        </w:tblPrEx>
        <w:trPr>
          <w:trHeight w:val="344"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206EBFEC">
            <w:pPr>
              <w:spacing w:line="232" w:lineRule="auto"/>
              <w:jc w:val="center"/>
              <w:rPr>
                <w:rFonts w:ascii="宋体" w:hAnsi="宋体" w:eastAsia="宋体" w:cs="宋体"/>
                <w:color w:val="auto"/>
                <w:spacing w:val="-2"/>
                <w:sz w:val="21"/>
                <w:highlight w:val="none"/>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09917">
            <w:pPr>
              <w:spacing w:line="232" w:lineRule="auto"/>
              <w:jc w:val="center"/>
              <w:rPr>
                <w:rFonts w:ascii="宋体" w:hAnsi="宋体" w:eastAsia="宋体" w:cs="宋体"/>
                <w:color w:val="auto"/>
                <w:spacing w:val="-2"/>
                <w:sz w:val="21"/>
                <w:highlight w:val="none"/>
              </w:rPr>
            </w:pP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EA3BF">
            <w:pPr>
              <w:spacing w:line="232" w:lineRule="auto"/>
              <w:rPr>
                <w:rFonts w:ascii="宋体" w:hAnsi="宋体" w:eastAsia="宋体" w:cs="宋体"/>
                <w:color w:val="auto"/>
                <w:spacing w:val="-2"/>
                <w:sz w:val="21"/>
                <w:highlight w:val="none"/>
              </w:rPr>
            </w:pPr>
          </w:p>
        </w:tc>
        <w:tc>
          <w:tcPr>
            <w:tcW w:w="26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EC8381">
            <w:pPr>
              <w:spacing w:line="232" w:lineRule="auto"/>
              <w:rPr>
                <w:rFonts w:ascii="宋体" w:hAnsi="宋体" w:eastAsia="宋体" w:cs="宋体"/>
                <w:color w:val="auto"/>
                <w:spacing w:val="-2"/>
                <w:sz w:val="21"/>
                <w:highlight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9254A">
            <w:pPr>
              <w:spacing w:line="232" w:lineRule="auto"/>
              <w:jc w:val="center"/>
              <w:rPr>
                <w:rFonts w:ascii="宋体" w:hAnsi="宋体" w:eastAsia="宋体" w:cs="宋体"/>
                <w:color w:val="auto"/>
                <w:spacing w:val="-2"/>
                <w:sz w:val="21"/>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ECC15">
            <w:pPr>
              <w:spacing w:line="232" w:lineRule="auto"/>
              <w:jc w:val="right"/>
              <w:rPr>
                <w:rFonts w:ascii="宋体" w:hAnsi="宋体" w:eastAsia="宋体" w:cs="宋体"/>
                <w:color w:val="auto"/>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BF890">
            <w:pPr>
              <w:spacing w:line="232" w:lineRule="auto"/>
              <w:jc w:val="right"/>
              <w:rPr>
                <w:rFonts w:ascii="宋体" w:hAnsi="宋体" w:eastAsia="宋体" w:cs="宋体"/>
                <w:color w:val="auto"/>
                <w:spacing w:val="-2"/>
                <w:sz w:val="21"/>
                <w:highlight w:val="none"/>
              </w:rPr>
            </w:pPr>
          </w:p>
        </w:tc>
        <w:tc>
          <w:tcPr>
            <w:tcW w:w="10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1C2893">
            <w:pPr>
              <w:spacing w:line="232" w:lineRule="auto"/>
              <w:jc w:val="right"/>
              <w:rPr>
                <w:rFonts w:ascii="宋体" w:hAnsi="宋体" w:eastAsia="宋体" w:cs="宋体"/>
                <w:color w:val="auto"/>
                <w:spacing w:val="-2"/>
                <w:sz w:val="21"/>
                <w:highlight w:val="none"/>
              </w:rPr>
            </w:pPr>
          </w:p>
        </w:tc>
        <w:tc>
          <w:tcPr>
            <w:tcW w:w="85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173F9391">
            <w:pPr>
              <w:spacing w:line="232" w:lineRule="auto"/>
              <w:jc w:val="right"/>
              <w:rPr>
                <w:rFonts w:ascii="宋体" w:hAnsi="宋体" w:eastAsia="宋体" w:cs="宋体"/>
                <w:color w:val="auto"/>
                <w:spacing w:val="-2"/>
                <w:sz w:val="21"/>
                <w:highlight w:val="none"/>
              </w:rPr>
            </w:pPr>
          </w:p>
        </w:tc>
      </w:tr>
      <w:tr w14:paraId="0396DD93">
        <w:tblPrEx>
          <w:tblCellMar>
            <w:top w:w="0" w:type="dxa"/>
            <w:left w:w="0" w:type="dxa"/>
            <w:bottom w:w="0" w:type="dxa"/>
            <w:right w:w="0" w:type="dxa"/>
          </w:tblCellMar>
        </w:tblPrEx>
        <w:trPr>
          <w:trHeight w:val="344"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45485129">
            <w:pPr>
              <w:spacing w:line="232" w:lineRule="auto"/>
              <w:jc w:val="center"/>
              <w:rPr>
                <w:rFonts w:ascii="宋体" w:hAnsi="宋体" w:eastAsia="宋体" w:cs="宋体"/>
                <w:color w:val="auto"/>
                <w:spacing w:val="-2"/>
                <w:sz w:val="21"/>
                <w:highlight w:val="none"/>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126C3">
            <w:pPr>
              <w:spacing w:line="232" w:lineRule="auto"/>
              <w:jc w:val="center"/>
              <w:rPr>
                <w:rFonts w:ascii="宋体" w:hAnsi="宋体" w:eastAsia="宋体" w:cs="宋体"/>
                <w:color w:val="auto"/>
                <w:spacing w:val="-2"/>
                <w:sz w:val="21"/>
                <w:highlight w:val="none"/>
              </w:rPr>
            </w:pP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591A8">
            <w:pPr>
              <w:spacing w:line="232" w:lineRule="auto"/>
              <w:rPr>
                <w:rFonts w:ascii="宋体" w:hAnsi="宋体" w:eastAsia="宋体" w:cs="宋体"/>
                <w:color w:val="auto"/>
                <w:spacing w:val="-2"/>
                <w:sz w:val="21"/>
                <w:highlight w:val="none"/>
              </w:rPr>
            </w:pPr>
          </w:p>
        </w:tc>
        <w:tc>
          <w:tcPr>
            <w:tcW w:w="26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408EE1">
            <w:pPr>
              <w:spacing w:line="232" w:lineRule="auto"/>
              <w:rPr>
                <w:rFonts w:ascii="宋体" w:hAnsi="宋体" w:eastAsia="宋体" w:cs="宋体"/>
                <w:color w:val="auto"/>
                <w:spacing w:val="-2"/>
                <w:sz w:val="21"/>
                <w:highlight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9B6E8">
            <w:pPr>
              <w:spacing w:line="232" w:lineRule="auto"/>
              <w:jc w:val="center"/>
              <w:rPr>
                <w:rFonts w:ascii="宋体" w:hAnsi="宋体" w:eastAsia="宋体" w:cs="宋体"/>
                <w:color w:val="auto"/>
                <w:spacing w:val="-2"/>
                <w:sz w:val="21"/>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962E9">
            <w:pPr>
              <w:spacing w:line="232" w:lineRule="auto"/>
              <w:jc w:val="right"/>
              <w:rPr>
                <w:rFonts w:ascii="宋体" w:hAnsi="宋体" w:eastAsia="宋体" w:cs="宋体"/>
                <w:color w:val="auto"/>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457BB">
            <w:pPr>
              <w:spacing w:line="232" w:lineRule="auto"/>
              <w:jc w:val="right"/>
              <w:rPr>
                <w:rFonts w:ascii="宋体" w:hAnsi="宋体" w:eastAsia="宋体" w:cs="宋体"/>
                <w:color w:val="auto"/>
                <w:spacing w:val="-2"/>
                <w:sz w:val="21"/>
                <w:highlight w:val="none"/>
              </w:rPr>
            </w:pPr>
          </w:p>
        </w:tc>
        <w:tc>
          <w:tcPr>
            <w:tcW w:w="10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9A2465">
            <w:pPr>
              <w:spacing w:line="232" w:lineRule="auto"/>
              <w:jc w:val="right"/>
              <w:rPr>
                <w:rFonts w:ascii="宋体" w:hAnsi="宋体" w:eastAsia="宋体" w:cs="宋体"/>
                <w:color w:val="auto"/>
                <w:spacing w:val="-2"/>
                <w:sz w:val="21"/>
                <w:highlight w:val="none"/>
              </w:rPr>
            </w:pPr>
          </w:p>
        </w:tc>
        <w:tc>
          <w:tcPr>
            <w:tcW w:w="85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518F0904">
            <w:pPr>
              <w:spacing w:line="232" w:lineRule="auto"/>
              <w:jc w:val="right"/>
              <w:rPr>
                <w:rFonts w:ascii="宋体" w:hAnsi="宋体" w:eastAsia="宋体" w:cs="宋体"/>
                <w:color w:val="auto"/>
                <w:spacing w:val="-2"/>
                <w:sz w:val="21"/>
                <w:highlight w:val="none"/>
              </w:rPr>
            </w:pPr>
          </w:p>
        </w:tc>
      </w:tr>
      <w:tr w14:paraId="5E0CC426">
        <w:tblPrEx>
          <w:tblCellMar>
            <w:top w:w="0" w:type="dxa"/>
            <w:left w:w="0" w:type="dxa"/>
            <w:bottom w:w="0" w:type="dxa"/>
            <w:right w:w="0" w:type="dxa"/>
          </w:tblCellMar>
        </w:tblPrEx>
        <w:trPr>
          <w:trHeight w:val="444" w:hRule="exact"/>
        </w:trPr>
        <w:tc>
          <w:tcPr>
            <w:tcW w:w="8167" w:type="dxa"/>
            <w:gridSpan w:val="8"/>
            <w:tcBorders>
              <w:top w:val="single" w:color="000000" w:sz="4" w:space="0"/>
              <w:left w:val="single" w:color="000000" w:sz="10" w:space="0"/>
              <w:bottom w:val="single" w:color="000000" w:sz="4" w:space="0"/>
              <w:right w:val="single" w:color="000000" w:sz="4" w:space="0"/>
            </w:tcBorders>
            <w:shd w:val="clear" w:color="auto" w:fill="auto"/>
            <w:vAlign w:val="center"/>
          </w:tcPr>
          <w:p w14:paraId="67C78F8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本页小计</w:t>
            </w:r>
          </w:p>
        </w:tc>
        <w:tc>
          <w:tcPr>
            <w:tcW w:w="1011" w:type="dxa"/>
            <w:gridSpan w:val="2"/>
            <w:tcBorders>
              <w:top w:val="single" w:color="000000" w:sz="4" w:space="0"/>
              <w:left w:val="single" w:color="000000" w:sz="4" w:space="0"/>
              <w:bottom w:val="single" w:color="000000" w:sz="4" w:space="0"/>
              <w:right w:val="single" w:color="000000" w:sz="4" w:space="0"/>
            </w:tcBorders>
            <w:shd w:val="clear" w:color="auto" w:fill="auto"/>
          </w:tcPr>
          <w:p w14:paraId="5CC5062F">
            <w:pPr>
              <w:spacing w:line="232" w:lineRule="auto"/>
              <w:rPr>
                <w:rFonts w:ascii="宋体" w:hAnsi="宋体" w:eastAsia="宋体" w:cs="宋体"/>
                <w:color w:val="auto"/>
                <w:spacing w:val="-2"/>
                <w:sz w:val="21"/>
                <w:highlight w:val="none"/>
              </w:rPr>
            </w:pPr>
          </w:p>
        </w:tc>
        <w:tc>
          <w:tcPr>
            <w:tcW w:w="855" w:type="dxa"/>
            <w:tcBorders>
              <w:top w:val="single" w:color="000000" w:sz="4" w:space="0"/>
              <w:left w:val="single" w:color="000000" w:sz="4" w:space="0"/>
              <w:bottom w:val="single" w:color="000000" w:sz="4" w:space="0"/>
              <w:right w:val="single" w:color="000000" w:sz="10" w:space="0"/>
            </w:tcBorders>
            <w:shd w:val="clear" w:color="auto" w:fill="auto"/>
          </w:tcPr>
          <w:p w14:paraId="1D175948">
            <w:pPr>
              <w:spacing w:line="232" w:lineRule="auto"/>
              <w:rPr>
                <w:rFonts w:ascii="宋体" w:hAnsi="宋体" w:eastAsia="宋体" w:cs="宋体"/>
                <w:color w:val="auto"/>
                <w:spacing w:val="-2"/>
                <w:sz w:val="21"/>
                <w:highlight w:val="none"/>
              </w:rPr>
            </w:pPr>
          </w:p>
        </w:tc>
      </w:tr>
      <w:tr w14:paraId="064169B9">
        <w:tblPrEx>
          <w:tblCellMar>
            <w:top w:w="0" w:type="dxa"/>
            <w:left w:w="0" w:type="dxa"/>
            <w:bottom w:w="0" w:type="dxa"/>
            <w:right w:w="0" w:type="dxa"/>
          </w:tblCellMar>
        </w:tblPrEx>
        <w:trPr>
          <w:trHeight w:val="459" w:hRule="exact"/>
        </w:trPr>
        <w:tc>
          <w:tcPr>
            <w:tcW w:w="8167" w:type="dxa"/>
            <w:gridSpan w:val="8"/>
            <w:tcBorders>
              <w:top w:val="single" w:color="000000" w:sz="4" w:space="0"/>
              <w:left w:val="single" w:color="000000" w:sz="10" w:space="0"/>
              <w:bottom w:val="single" w:color="000000" w:sz="10" w:space="0"/>
              <w:right w:val="single" w:color="000000" w:sz="4" w:space="0"/>
            </w:tcBorders>
            <w:shd w:val="clear" w:color="auto" w:fill="auto"/>
            <w:vAlign w:val="center"/>
          </w:tcPr>
          <w:p w14:paraId="0A0F9A4B">
            <w:pPr>
              <w:spacing w:line="232" w:lineRule="auto"/>
              <w:jc w:val="center"/>
              <w:rPr>
                <w:rFonts w:hint="eastAsia" w:ascii="宋体" w:hAnsi="宋体" w:eastAsia="宋体" w:cs="宋体"/>
                <w:color w:val="auto"/>
                <w:spacing w:val="-2"/>
                <w:sz w:val="21"/>
                <w:highlight w:val="none"/>
                <w:lang w:eastAsia="zh-CN"/>
              </w:rPr>
            </w:pPr>
            <w:r>
              <w:rPr>
                <w:rFonts w:ascii="宋体" w:hAnsi="宋体" w:eastAsia="宋体" w:cs="宋体"/>
                <w:color w:val="auto"/>
                <w:spacing w:val="-2"/>
                <w:sz w:val="21"/>
                <w:highlight w:val="none"/>
              </w:rPr>
              <w:t>合    计</w:t>
            </w:r>
            <w:r>
              <w:rPr>
                <w:rFonts w:hint="eastAsia" w:ascii="宋体" w:hAnsi="宋体" w:eastAsia="宋体" w:cs="宋体"/>
                <w:color w:val="auto"/>
                <w:spacing w:val="-2"/>
                <w:sz w:val="21"/>
                <w:highlight w:val="none"/>
                <w:lang w:eastAsia="zh-CN"/>
              </w:rPr>
              <w:t>（</w:t>
            </w:r>
            <w:r>
              <w:rPr>
                <w:rFonts w:hint="eastAsia" w:ascii="宋体" w:hAnsi="宋体" w:eastAsia="宋体" w:cs="宋体"/>
                <w:color w:val="auto"/>
                <w:spacing w:val="-2"/>
                <w:sz w:val="21"/>
                <w:highlight w:val="none"/>
                <w:lang w:val="en-US" w:eastAsia="zh-CN"/>
              </w:rPr>
              <w:t>总报价</w:t>
            </w:r>
            <w:r>
              <w:rPr>
                <w:rFonts w:hint="eastAsia" w:ascii="宋体" w:hAnsi="宋体" w:eastAsia="宋体" w:cs="宋体"/>
                <w:color w:val="auto"/>
                <w:spacing w:val="-2"/>
                <w:sz w:val="21"/>
                <w:highlight w:val="none"/>
                <w:lang w:eastAsia="zh-CN"/>
              </w:rPr>
              <w:t>）</w:t>
            </w:r>
          </w:p>
        </w:tc>
        <w:tc>
          <w:tcPr>
            <w:tcW w:w="1011" w:type="dxa"/>
            <w:gridSpan w:val="2"/>
            <w:tcBorders>
              <w:top w:val="single" w:color="000000" w:sz="4" w:space="0"/>
              <w:left w:val="single" w:color="000000" w:sz="4" w:space="0"/>
              <w:bottom w:val="single" w:color="000000" w:sz="10" w:space="0"/>
              <w:right w:val="single" w:color="000000" w:sz="4" w:space="0"/>
            </w:tcBorders>
            <w:shd w:val="clear" w:color="auto" w:fill="auto"/>
            <w:vAlign w:val="center"/>
          </w:tcPr>
          <w:p w14:paraId="6DFCFA5B">
            <w:pPr>
              <w:spacing w:line="232" w:lineRule="auto"/>
              <w:jc w:val="right"/>
              <w:rPr>
                <w:rFonts w:ascii="宋体" w:hAnsi="宋体" w:eastAsia="宋体" w:cs="宋体"/>
                <w:color w:val="auto"/>
                <w:spacing w:val="-2"/>
                <w:sz w:val="21"/>
                <w:highlight w:val="none"/>
              </w:rPr>
            </w:pPr>
          </w:p>
        </w:tc>
        <w:tc>
          <w:tcPr>
            <w:tcW w:w="855" w:type="dxa"/>
            <w:tcBorders>
              <w:top w:val="single" w:color="000000" w:sz="4" w:space="0"/>
              <w:left w:val="single" w:color="000000" w:sz="4" w:space="0"/>
              <w:bottom w:val="single" w:color="000000" w:sz="10" w:space="0"/>
              <w:right w:val="single" w:color="000000" w:sz="10" w:space="0"/>
            </w:tcBorders>
            <w:shd w:val="clear" w:color="auto" w:fill="auto"/>
            <w:vAlign w:val="center"/>
          </w:tcPr>
          <w:p w14:paraId="7AB49756">
            <w:pPr>
              <w:spacing w:line="232" w:lineRule="auto"/>
              <w:jc w:val="right"/>
              <w:rPr>
                <w:rFonts w:ascii="宋体" w:hAnsi="宋体" w:eastAsia="宋体" w:cs="宋体"/>
                <w:color w:val="auto"/>
                <w:spacing w:val="-2"/>
                <w:sz w:val="21"/>
                <w:highlight w:val="none"/>
              </w:rPr>
            </w:pPr>
          </w:p>
        </w:tc>
      </w:tr>
    </w:tbl>
    <w:p w14:paraId="1242B8D2">
      <w:pPr>
        <w:pageBreakBefore w:val="0"/>
        <w:kinsoku/>
        <w:overflowPunct/>
        <w:topLinePunct w:val="0"/>
        <w:bidi w:val="0"/>
        <w:spacing w:line="380" w:lineRule="exact"/>
        <w:jc w:val="left"/>
        <w:rPr>
          <w:rFonts w:hint="eastAsia" w:ascii="仿宋" w:hAnsi="仿宋" w:eastAsia="仿宋" w:cs="仿宋"/>
          <w:b w:val="0"/>
          <w:bCs w:val="0"/>
          <w:color w:val="auto"/>
          <w:kern w:val="0"/>
          <w:sz w:val="22"/>
          <w:szCs w:val="22"/>
          <w:highlight w:val="none"/>
        </w:rPr>
      </w:pPr>
      <w:r>
        <w:rPr>
          <w:rFonts w:hint="eastAsia" w:ascii="仿宋" w:hAnsi="仿宋" w:eastAsia="仿宋" w:cs="仿宋"/>
          <w:color w:val="auto"/>
          <w:sz w:val="22"/>
          <w:szCs w:val="22"/>
          <w:highlight w:val="none"/>
        </w:rPr>
        <w:t>注：</w:t>
      </w:r>
      <w:r>
        <w:rPr>
          <w:rFonts w:hint="eastAsia" w:ascii="仿宋" w:hAnsi="仿宋" w:eastAsia="仿宋" w:cs="仿宋"/>
          <w:b w:val="0"/>
          <w:bCs w:val="0"/>
          <w:color w:val="auto"/>
          <w:kern w:val="0"/>
          <w:sz w:val="22"/>
          <w:szCs w:val="22"/>
          <w:highlight w:val="none"/>
        </w:rPr>
        <w:t>自行现场勘查。</w:t>
      </w:r>
    </w:p>
    <w:p w14:paraId="69E294CB">
      <w:pPr>
        <w:pageBreakBefore w:val="0"/>
        <w:kinsoku/>
        <w:overflowPunct/>
        <w:topLinePunct w:val="0"/>
        <w:bidi w:val="0"/>
        <w:spacing w:line="380" w:lineRule="exact"/>
        <w:jc w:val="left"/>
        <w:rPr>
          <w:rFonts w:ascii="仿宋" w:hAnsi="仿宋" w:eastAsia="仿宋" w:cs="仿宋"/>
          <w:color w:val="auto"/>
          <w:sz w:val="22"/>
          <w:szCs w:val="22"/>
          <w:highlight w:val="none"/>
        </w:rPr>
        <w:sectPr>
          <w:pgSz w:w="11906" w:h="16838"/>
          <w:pgMar w:top="1417" w:right="1417" w:bottom="1417" w:left="850" w:header="567" w:footer="630" w:gutter="0"/>
          <w:cols w:space="720" w:num="1"/>
        </w:sectPr>
      </w:pPr>
      <w:r>
        <w:rPr>
          <w:rFonts w:ascii="仿宋" w:hAnsi="仿宋" w:eastAsia="仿宋" w:cs="仿宋"/>
          <w:color w:val="auto"/>
          <w:sz w:val="22"/>
          <w:szCs w:val="22"/>
          <w:highlight w:val="none"/>
        </w:rPr>
        <w:t>本项目按全费用报价。全费用单价：其应包括但不限于按国家规范完成本项目所有的人工、材料以及完成实体工程量的辅助材料、机械设备、管理费、利润、运输、脚手架费、模板、税金、二次搬运、清理、保洁、培训费、交通费用、差旅费用、绿化迁移及恢复费、安全文明施工费、税费以及各项措施项目费、风险和政策性文件规定的各项应有费用。全费用工程量清单中每一个子目和单项均需计算填写单价、合价。每道工序均需要业主或监理签证确认后再进行下一道工序，每道工序业主或监理未确认工程款不予支付。</w:t>
      </w:r>
    </w:p>
    <w:p w14:paraId="4224B872">
      <w:pPr>
        <w:pageBreakBefore w:val="0"/>
        <w:kinsoku/>
        <w:overflowPunct/>
        <w:topLinePunct w:val="0"/>
        <w:bidi w:val="0"/>
        <w:spacing w:line="380" w:lineRule="exact"/>
        <w:jc w:val="left"/>
        <w:rPr>
          <w:rFonts w:ascii="仿宋" w:hAnsi="仿宋" w:eastAsia="仿宋" w:cs="仿宋"/>
          <w:color w:val="auto"/>
          <w:sz w:val="22"/>
          <w:szCs w:val="22"/>
          <w:highlight w:val="none"/>
        </w:rPr>
      </w:pPr>
    </w:p>
    <w:p w14:paraId="33B196BC">
      <w:pPr>
        <w:jc w:val="center"/>
        <w:rPr>
          <w:rFonts w:ascii="宋体" w:hAnsi="宋体"/>
          <w:b/>
          <w:color w:val="auto"/>
          <w:sz w:val="30"/>
          <w:szCs w:val="30"/>
          <w:highlight w:val="none"/>
        </w:rPr>
      </w:pPr>
      <w:r>
        <w:rPr>
          <w:rFonts w:hint="eastAsia" w:ascii="宋体" w:hAnsi="宋体" w:cs="宋体"/>
          <w:b/>
          <w:bCs w:val="0"/>
          <w:color w:val="auto"/>
          <w:sz w:val="30"/>
          <w:szCs w:val="30"/>
          <w:highlight w:val="none"/>
          <w:lang w:val="en-US" w:eastAsia="zh-CN"/>
        </w:rPr>
        <w:t>第五章</w:t>
      </w:r>
      <w:r>
        <w:rPr>
          <w:rFonts w:hint="eastAsia" w:ascii="宋体" w:hAnsi="宋体" w:eastAsia="宋体" w:cs="宋体"/>
          <w:b/>
          <w:bCs w:val="0"/>
          <w:color w:val="auto"/>
          <w:sz w:val="30"/>
          <w:szCs w:val="30"/>
          <w:highlight w:val="none"/>
        </w:rPr>
        <w:t xml:space="preserve"> 合同格式及条款</w:t>
      </w:r>
    </w:p>
    <w:p w14:paraId="3DE21EF1">
      <w:pPr>
        <w:pStyle w:val="4"/>
        <w:pageBreakBefore w:val="0"/>
        <w:kinsoku/>
        <w:overflowPunct/>
        <w:topLinePunct w:val="0"/>
        <w:bidi w:val="0"/>
        <w:spacing w:before="0" w:after="0" w:line="380" w:lineRule="exact"/>
        <w:ind w:left="0" w:leftChars="0" w:firstLine="0" w:firstLineChars="0"/>
        <w:jc w:val="center"/>
        <w:rPr>
          <w:rFonts w:hint="eastAsia" w:ascii="宋体" w:hAnsi="宋体" w:eastAsia="宋体" w:cs="宋体"/>
          <w:color w:val="auto"/>
          <w:sz w:val="30"/>
          <w:szCs w:val="30"/>
          <w:highlight w:val="none"/>
          <w:lang w:val="en-US"/>
        </w:rPr>
      </w:pPr>
      <w:r>
        <w:rPr>
          <w:rFonts w:hint="eastAsia" w:hAnsi="宋体"/>
          <w:color w:val="auto"/>
          <w:sz w:val="24"/>
          <w:szCs w:val="40"/>
          <w:highlight w:val="none"/>
          <w:lang w:val="en-US" w:eastAsia="zh-CN"/>
        </w:rPr>
        <w:t xml:space="preserve"> </w:t>
      </w:r>
      <w:r>
        <w:rPr>
          <w:rFonts w:hint="eastAsia" w:ascii="宋体" w:hAnsi="宋体" w:eastAsia="宋体" w:cs="宋体"/>
          <w:color w:val="auto"/>
          <w:sz w:val="30"/>
          <w:szCs w:val="30"/>
          <w:highlight w:val="none"/>
          <w:lang w:val="en-US" w:eastAsia="zh-CN"/>
        </w:rPr>
        <w:t>第一部分 合同协议</w:t>
      </w:r>
    </w:p>
    <w:p w14:paraId="086E1892">
      <w:pPr>
        <w:pageBreakBefore w:val="0"/>
        <w:kinsoku/>
        <w:overflowPunct/>
        <w:topLinePunct w:val="0"/>
        <w:bidi w:val="0"/>
        <w:spacing w:line="380" w:lineRule="exact"/>
        <w:rPr>
          <w:rFonts w:hint="eastAsia" w:ascii="宋体" w:hAnsi="宋体" w:eastAsia="宋体" w:cs="宋体"/>
          <w:b/>
          <w:color w:val="auto"/>
          <w:sz w:val="21"/>
          <w:szCs w:val="21"/>
          <w:highlight w:val="none"/>
          <w:u w:val="single"/>
          <w:lang w:val="en-US" w:eastAsia="zh-CN"/>
        </w:rPr>
      </w:pPr>
      <w:r>
        <w:rPr>
          <w:rFonts w:hint="eastAsia" w:ascii="宋体" w:hAnsi="宋体" w:eastAsia="宋体" w:cs="宋体"/>
          <w:b/>
          <w:color w:val="auto"/>
          <w:sz w:val="21"/>
          <w:szCs w:val="21"/>
          <w:highlight w:val="none"/>
        </w:rPr>
        <w:t>发包人（全称）：</w:t>
      </w:r>
      <w:r>
        <w:rPr>
          <w:rFonts w:hint="eastAsia" w:ascii="宋体" w:hAnsi="宋体" w:eastAsia="宋体" w:cs="宋体"/>
          <w:b/>
          <w:color w:val="auto"/>
          <w:sz w:val="21"/>
          <w:szCs w:val="21"/>
          <w:highlight w:val="none"/>
          <w:u w:val="single"/>
          <w:lang w:val="en-US" w:eastAsia="zh-CN"/>
        </w:rPr>
        <w:t xml:space="preserve">           </w:t>
      </w:r>
    </w:p>
    <w:p w14:paraId="1F2C0E93">
      <w:pPr>
        <w:pageBreakBefore w:val="0"/>
        <w:kinsoku/>
        <w:overflowPunct/>
        <w:topLinePunct w:val="0"/>
        <w:bidi w:val="0"/>
        <w:spacing w:line="380" w:lineRule="exact"/>
        <w:rPr>
          <w:rFonts w:hint="eastAsia" w:ascii="宋体" w:hAnsi="宋体" w:eastAsia="宋体" w:cs="宋体"/>
          <w:b/>
          <w:color w:val="auto"/>
          <w:sz w:val="21"/>
          <w:szCs w:val="21"/>
          <w:highlight w:val="none"/>
          <w:u w:val="single"/>
          <w:lang w:val="en-US" w:eastAsia="zh-CN"/>
        </w:rPr>
      </w:pPr>
      <w:r>
        <w:rPr>
          <w:rFonts w:hint="eastAsia" w:ascii="宋体" w:hAnsi="宋体" w:eastAsia="宋体" w:cs="宋体"/>
          <w:b/>
          <w:color w:val="auto"/>
          <w:sz w:val="21"/>
          <w:szCs w:val="21"/>
          <w:highlight w:val="none"/>
        </w:rPr>
        <w:t>承包人（全称）：</w:t>
      </w:r>
      <w:r>
        <w:rPr>
          <w:rFonts w:hint="eastAsia" w:ascii="宋体" w:hAnsi="宋体" w:eastAsia="宋体" w:cs="宋体"/>
          <w:b/>
          <w:color w:val="auto"/>
          <w:sz w:val="21"/>
          <w:szCs w:val="21"/>
          <w:highlight w:val="none"/>
          <w:u w:val="single"/>
          <w:lang w:val="en-US" w:eastAsia="zh-CN"/>
        </w:rPr>
        <w:t xml:space="preserve">           </w:t>
      </w:r>
    </w:p>
    <w:p w14:paraId="437E809D">
      <w:pPr>
        <w:pageBreakBefore w:val="0"/>
        <w:kinsoku/>
        <w:overflowPunct/>
        <w:topLinePunct w:val="0"/>
        <w:bidi w:val="0"/>
        <w:spacing w:line="3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w:t>
      </w:r>
      <w:r>
        <w:rPr>
          <w:rFonts w:hint="eastAsia" w:ascii="宋体" w:hAnsi="宋体" w:eastAsia="宋体" w:cs="宋体"/>
          <w:color w:val="auto"/>
          <w:sz w:val="21"/>
          <w:szCs w:val="21"/>
          <w:highlight w:val="none"/>
          <w:lang w:val="en-US" w:eastAsia="zh-CN"/>
        </w:rPr>
        <w:t>民法典》《</w:t>
      </w:r>
      <w:r>
        <w:rPr>
          <w:rFonts w:hint="eastAsia" w:ascii="宋体" w:hAnsi="宋体" w:eastAsia="宋体" w:cs="宋体"/>
          <w:color w:val="auto"/>
          <w:sz w:val="21"/>
          <w:szCs w:val="21"/>
          <w:highlight w:val="none"/>
        </w:rPr>
        <w:t>中华人民共和国建筑法》及有关法律规定，遵循平等、自愿、公平和诚实信用的原则，双方就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项目</w:t>
      </w:r>
      <w:r>
        <w:rPr>
          <w:rFonts w:hint="eastAsia" w:ascii="宋体" w:hAnsi="宋体" w:eastAsia="宋体" w:cs="宋体"/>
          <w:color w:val="auto"/>
          <w:sz w:val="21"/>
          <w:szCs w:val="21"/>
          <w:highlight w:val="none"/>
        </w:rPr>
        <w:t>及有关事项协商一致，共同达成如下协议：</w:t>
      </w:r>
    </w:p>
    <w:p w14:paraId="4EA8E83F">
      <w:pPr>
        <w:pStyle w:val="2"/>
        <w:pageBreakBefore w:val="0"/>
        <w:kinsoku/>
        <w:overflowPunct/>
        <w:topLinePunct w:val="0"/>
        <w:bidi w:val="0"/>
        <w:spacing w:before="0" w:after="0" w:line="380" w:lineRule="exact"/>
        <w:ind w:firstLine="420" w:firstLineChars="200"/>
        <w:rPr>
          <w:rFonts w:hint="eastAsia" w:ascii="宋体" w:hAnsi="宋体" w:eastAsia="宋体" w:cs="宋体"/>
          <w:color w:val="auto"/>
          <w:sz w:val="21"/>
          <w:szCs w:val="21"/>
          <w:highlight w:val="none"/>
          <w:lang w:eastAsia="zh-CN"/>
        </w:rPr>
      </w:pPr>
      <w:bookmarkStart w:id="34" w:name="_Toc351203481"/>
      <w:r>
        <w:rPr>
          <w:rFonts w:hint="eastAsia" w:ascii="宋体" w:hAnsi="宋体" w:eastAsia="宋体" w:cs="宋体"/>
          <w:b w:val="0"/>
          <w:color w:val="auto"/>
          <w:sz w:val="21"/>
          <w:szCs w:val="21"/>
          <w:highlight w:val="none"/>
          <w:lang w:eastAsia="zh-CN"/>
        </w:rPr>
        <w:t>一、工程概况</w:t>
      </w:r>
      <w:bookmarkEnd w:id="34"/>
    </w:p>
    <w:p w14:paraId="36A68DD2">
      <w:pPr>
        <w:pageBreakBefore w:val="0"/>
        <w:kinsoku/>
        <w:overflowPunct/>
        <w:topLinePunct w:val="0"/>
        <w:bidi w:val="0"/>
        <w:spacing w:line="38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1.工程名称</w:t>
      </w:r>
      <w:r>
        <w:rPr>
          <w:rFonts w:hint="eastAsia" w:ascii="宋体" w:hAnsi="宋体" w:eastAsia="宋体" w:cs="宋体"/>
          <w:color w:val="auto"/>
          <w:sz w:val="21"/>
          <w:szCs w:val="21"/>
          <w:highlight w:val="none"/>
        </w:rPr>
        <w:t>：</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color w:val="auto"/>
          <w:sz w:val="21"/>
          <w:szCs w:val="21"/>
          <w:highlight w:val="none"/>
        </w:rPr>
        <w:t>。</w:t>
      </w:r>
    </w:p>
    <w:p w14:paraId="14BE4E70">
      <w:pPr>
        <w:pageBreakBefore w:val="0"/>
        <w:kinsoku/>
        <w:overflowPunct/>
        <w:topLinePunct w:val="0"/>
        <w:bidi w:val="0"/>
        <w:spacing w:line="3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2.工程地点：</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6C71E07D">
      <w:pPr>
        <w:pageBreakBefore w:val="0"/>
        <w:kinsoku/>
        <w:overflowPunct/>
        <w:topLinePunct w:val="0"/>
        <w:bidi w:val="0"/>
        <w:spacing w:line="3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3.资金来源：</w:t>
      </w:r>
      <w:r>
        <w:rPr>
          <w:rFonts w:hint="eastAsia" w:ascii="宋体" w:hAnsi="宋体" w:eastAsia="宋体" w:cs="宋体"/>
          <w:bCs/>
          <w:color w:val="auto"/>
          <w:sz w:val="21"/>
          <w:szCs w:val="21"/>
          <w:highlight w:val="none"/>
          <w:u w:val="single"/>
          <w:lang w:val="en-US" w:eastAsia="zh-CN"/>
        </w:rPr>
        <w:t>已落实</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w:t>
      </w:r>
    </w:p>
    <w:p w14:paraId="7283B592">
      <w:pPr>
        <w:pageBreakBefore w:val="0"/>
        <w:kinsoku/>
        <w:overflowPunct/>
        <w:topLinePunct w:val="0"/>
        <w:bidi w:val="0"/>
        <w:spacing w:line="3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4.工程内容：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w:t>
      </w:r>
    </w:p>
    <w:p w14:paraId="4C6EFFF8">
      <w:pPr>
        <w:pageBreakBefore w:val="0"/>
        <w:kinsoku/>
        <w:overflowPunct/>
        <w:topLinePunct w:val="0"/>
        <w:bidi w:val="0"/>
        <w:spacing w:line="3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5.工程承包范围：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5D086933">
      <w:pPr>
        <w:pStyle w:val="2"/>
        <w:pageBreakBefore w:val="0"/>
        <w:kinsoku/>
        <w:overflowPunct/>
        <w:topLinePunct w:val="0"/>
        <w:bidi w:val="0"/>
        <w:spacing w:before="0" w:after="0" w:line="380" w:lineRule="exact"/>
        <w:ind w:firstLine="420" w:firstLineChars="200"/>
        <w:rPr>
          <w:rFonts w:hint="eastAsia" w:ascii="宋体" w:hAnsi="宋体" w:eastAsia="宋体" w:cs="宋体"/>
          <w:b w:val="0"/>
          <w:color w:val="auto"/>
          <w:sz w:val="21"/>
          <w:szCs w:val="21"/>
          <w:highlight w:val="none"/>
          <w:lang w:eastAsia="zh-CN"/>
        </w:rPr>
      </w:pPr>
      <w:bookmarkStart w:id="35" w:name="_Toc351203482"/>
      <w:r>
        <w:rPr>
          <w:rFonts w:hint="eastAsia" w:ascii="宋体" w:hAnsi="宋体" w:eastAsia="宋体" w:cs="宋体"/>
          <w:b w:val="0"/>
          <w:color w:val="auto"/>
          <w:sz w:val="21"/>
          <w:szCs w:val="21"/>
          <w:highlight w:val="none"/>
          <w:lang w:eastAsia="zh-CN"/>
        </w:rPr>
        <w:t>二、合同工期</w:t>
      </w:r>
      <w:bookmarkEnd w:id="35"/>
    </w:p>
    <w:p w14:paraId="74BF1FE1">
      <w:pPr>
        <w:pageBreakBefore w:val="0"/>
        <w:kinsoku/>
        <w:overflowPunct/>
        <w:topLinePunct w:val="0"/>
        <w:bidi w:val="0"/>
        <w:spacing w:line="3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计划开工日期：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年   月   日。</w:t>
      </w:r>
    </w:p>
    <w:p w14:paraId="6E4AA334">
      <w:pPr>
        <w:pageBreakBefore w:val="0"/>
        <w:kinsoku/>
        <w:overflowPunct/>
        <w:topLinePunct w:val="0"/>
        <w:bidi w:val="0"/>
        <w:spacing w:line="3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计划竣工日期：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年   月   日。</w:t>
      </w:r>
    </w:p>
    <w:p w14:paraId="05B339E5">
      <w:pPr>
        <w:pageBreakBefore w:val="0"/>
        <w:kinsoku/>
        <w:overflowPunct/>
        <w:topLinePunct w:val="0"/>
        <w:bidi w:val="0"/>
        <w:spacing w:line="3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工期总日历天数：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日历天。工期总日历天数与根据前述计划开竣工日期计算的工期天数不一致的，以工期总日历天数为准。</w:t>
      </w:r>
    </w:p>
    <w:p w14:paraId="5A15E22E">
      <w:pPr>
        <w:pStyle w:val="2"/>
        <w:pageBreakBefore w:val="0"/>
        <w:numPr>
          <w:ilvl w:val="0"/>
          <w:numId w:val="8"/>
        </w:numPr>
        <w:kinsoku/>
        <w:overflowPunct/>
        <w:topLinePunct w:val="0"/>
        <w:bidi w:val="0"/>
        <w:spacing w:before="0" w:after="0" w:line="380" w:lineRule="exact"/>
        <w:ind w:firstLine="420" w:firstLineChars="200"/>
        <w:rPr>
          <w:rFonts w:hint="eastAsia" w:ascii="宋体" w:hAnsi="宋体" w:eastAsia="宋体" w:cs="宋体"/>
          <w:color w:val="auto"/>
          <w:sz w:val="21"/>
          <w:szCs w:val="21"/>
          <w:highlight w:val="none"/>
        </w:rPr>
      </w:pPr>
      <w:bookmarkStart w:id="36" w:name="_Toc351203483"/>
      <w:r>
        <w:rPr>
          <w:rFonts w:hint="eastAsia" w:ascii="宋体" w:hAnsi="宋体" w:eastAsia="宋体" w:cs="宋体"/>
          <w:b w:val="0"/>
          <w:color w:val="auto"/>
          <w:sz w:val="21"/>
          <w:szCs w:val="21"/>
          <w:highlight w:val="none"/>
          <w:lang w:eastAsia="zh-CN"/>
        </w:rPr>
        <w:t>质量标准</w:t>
      </w:r>
      <w:bookmarkEnd w:id="36"/>
      <w:r>
        <w:rPr>
          <w:rFonts w:hint="eastAsia" w:ascii="宋体" w:hAnsi="宋体" w:eastAsia="宋体" w:cs="宋体"/>
          <w:b w:val="0"/>
          <w:color w:val="auto"/>
          <w:sz w:val="21"/>
          <w:szCs w:val="21"/>
          <w:highlight w:val="none"/>
          <w:lang w:eastAsia="zh-CN"/>
        </w:rPr>
        <w:t>：</w:t>
      </w:r>
      <w:bookmarkStart w:id="37" w:name="_Toc351203484"/>
      <w:r>
        <w:rPr>
          <w:rFonts w:hint="eastAsia" w:ascii="宋体" w:hAnsi="宋体" w:eastAsia="宋体" w:cs="宋体"/>
          <w:color w:val="auto"/>
          <w:sz w:val="21"/>
          <w:szCs w:val="21"/>
          <w:highlight w:val="none"/>
          <w:lang w:val="en-US" w:eastAsia="zh-CN"/>
        </w:rPr>
        <w:t>合格</w:t>
      </w:r>
    </w:p>
    <w:p w14:paraId="60BCEF63">
      <w:pPr>
        <w:pStyle w:val="2"/>
        <w:pageBreakBefore w:val="0"/>
        <w:numPr>
          <w:ilvl w:val="0"/>
          <w:numId w:val="0"/>
        </w:numPr>
        <w:kinsoku/>
        <w:overflowPunct/>
        <w:topLinePunct w:val="0"/>
        <w:bidi w:val="0"/>
        <w:spacing w:before="0" w:after="0" w:line="38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b w:val="0"/>
          <w:color w:val="auto"/>
          <w:sz w:val="21"/>
          <w:szCs w:val="21"/>
          <w:highlight w:val="none"/>
          <w:lang w:eastAsia="zh-CN"/>
        </w:rPr>
        <w:t>四、签约合同价与合同价格形式</w:t>
      </w:r>
      <w:bookmarkEnd w:id="37"/>
      <w:r>
        <w:rPr>
          <w:rFonts w:hint="eastAsia" w:ascii="宋体" w:hAnsi="宋体" w:eastAsia="宋体" w:cs="宋体"/>
          <w:b w:val="0"/>
          <w:color w:val="auto"/>
          <w:sz w:val="21"/>
          <w:szCs w:val="21"/>
          <w:highlight w:val="none"/>
          <w:lang w:eastAsia="zh-CN"/>
        </w:rPr>
        <w:tab/>
      </w:r>
    </w:p>
    <w:p w14:paraId="5CF9249F">
      <w:pPr>
        <w:pageBreakBefore w:val="0"/>
        <w:kinsoku/>
        <w:overflowPunct/>
        <w:topLinePunct w:val="0"/>
        <w:bidi w:val="0"/>
        <w:spacing w:line="3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1.签约合同价为：</w:t>
      </w:r>
    </w:p>
    <w:p w14:paraId="4537F0BA">
      <w:pPr>
        <w:pageBreakBefore w:val="0"/>
        <w:kinsoku/>
        <w:overflowPunct/>
        <w:topLinePunct w:val="0"/>
        <w:bidi w:val="0"/>
        <w:spacing w:line="3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524E48F6">
      <w:pPr>
        <w:pageBreakBefore w:val="0"/>
        <w:kinsoku/>
        <w:overflowPunct/>
        <w:topLinePunct w:val="0"/>
        <w:bidi w:val="0"/>
        <w:spacing w:line="3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2.合同价格形式：</w:t>
      </w:r>
      <w:r>
        <w:rPr>
          <w:rFonts w:hint="eastAsia" w:ascii="宋体" w:hAnsi="宋体" w:eastAsia="宋体" w:cs="宋体"/>
          <w:color w:val="auto"/>
          <w:sz w:val="21"/>
          <w:szCs w:val="21"/>
          <w:highlight w:val="none"/>
          <w:u w:val="single"/>
          <w:lang w:val="en-US" w:eastAsia="zh-CN"/>
        </w:rPr>
        <w:t>固定单价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w:t>
      </w:r>
    </w:p>
    <w:p w14:paraId="5E412469">
      <w:pPr>
        <w:pStyle w:val="2"/>
        <w:pageBreakBefore w:val="0"/>
        <w:kinsoku/>
        <w:overflowPunct/>
        <w:topLinePunct w:val="0"/>
        <w:bidi w:val="0"/>
        <w:spacing w:before="0" w:after="0" w:line="380" w:lineRule="exact"/>
        <w:ind w:firstLine="420" w:firstLineChars="200"/>
        <w:rPr>
          <w:rFonts w:hint="eastAsia" w:ascii="宋体" w:hAnsi="宋体" w:eastAsia="宋体" w:cs="宋体"/>
          <w:b w:val="0"/>
          <w:color w:val="auto"/>
          <w:sz w:val="21"/>
          <w:szCs w:val="21"/>
          <w:highlight w:val="none"/>
          <w:lang w:eastAsia="zh-CN"/>
        </w:rPr>
      </w:pPr>
      <w:bookmarkStart w:id="38" w:name="_Toc351203485"/>
      <w:r>
        <w:rPr>
          <w:rFonts w:hint="eastAsia" w:ascii="宋体" w:hAnsi="宋体" w:eastAsia="宋体" w:cs="宋体"/>
          <w:b w:val="0"/>
          <w:color w:val="auto"/>
          <w:sz w:val="21"/>
          <w:szCs w:val="21"/>
          <w:highlight w:val="none"/>
          <w:lang w:eastAsia="zh-CN"/>
        </w:rPr>
        <w:t>五、</w:t>
      </w:r>
      <w:bookmarkEnd w:id="38"/>
      <w:r>
        <w:rPr>
          <w:rFonts w:hint="eastAsia" w:ascii="宋体" w:hAnsi="宋体" w:eastAsia="宋体" w:cs="宋体"/>
          <w:b w:val="0"/>
          <w:color w:val="auto"/>
          <w:sz w:val="21"/>
          <w:szCs w:val="21"/>
          <w:highlight w:val="none"/>
          <w:lang w:eastAsia="zh-CN"/>
        </w:rPr>
        <w:t>项目经理</w:t>
      </w:r>
    </w:p>
    <w:p w14:paraId="76374FF8">
      <w:pPr>
        <w:pageBreakBefore w:val="0"/>
        <w:kinsoku/>
        <w:overflowPunct/>
        <w:topLinePunct w:val="0"/>
        <w:bidi w:val="0"/>
        <w:spacing w:line="3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C596293">
      <w:pPr>
        <w:pStyle w:val="2"/>
        <w:pageBreakBefore w:val="0"/>
        <w:kinsoku/>
        <w:overflowPunct/>
        <w:topLinePunct w:val="0"/>
        <w:bidi w:val="0"/>
        <w:spacing w:before="0" w:after="0" w:line="380" w:lineRule="exact"/>
        <w:ind w:firstLine="420" w:firstLineChars="200"/>
        <w:rPr>
          <w:rFonts w:hint="eastAsia" w:ascii="宋体" w:hAnsi="宋体" w:eastAsia="宋体" w:cs="宋体"/>
          <w:color w:val="auto"/>
          <w:sz w:val="21"/>
          <w:szCs w:val="21"/>
          <w:highlight w:val="none"/>
          <w:lang w:eastAsia="zh-CN"/>
        </w:rPr>
      </w:pPr>
      <w:bookmarkStart w:id="39" w:name="_Toc351203486"/>
      <w:r>
        <w:rPr>
          <w:rFonts w:hint="eastAsia" w:ascii="宋体" w:hAnsi="宋体" w:eastAsia="宋体" w:cs="宋体"/>
          <w:b w:val="0"/>
          <w:color w:val="auto"/>
          <w:sz w:val="21"/>
          <w:szCs w:val="21"/>
          <w:highlight w:val="none"/>
          <w:lang w:eastAsia="zh-CN"/>
        </w:rPr>
        <w:t>六、合同文件构成</w:t>
      </w:r>
      <w:bookmarkEnd w:id="39"/>
    </w:p>
    <w:p w14:paraId="23385EC8">
      <w:pPr>
        <w:pageBreakBefore w:val="0"/>
        <w:kinsoku/>
        <w:overflowPunct/>
        <w:topLinePunct w:val="0"/>
        <w:bidi w:val="0"/>
        <w:spacing w:line="3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本协议书与下列文件一起构成合同文件：</w:t>
      </w:r>
    </w:p>
    <w:p w14:paraId="7CCF1A7A">
      <w:pPr>
        <w:pageBreakBefore w:val="0"/>
        <w:kinsoku/>
        <w:overflowPunct/>
        <w:topLinePunct w:val="0"/>
        <w:autoSpaceDE w:val="0"/>
        <w:autoSpaceDN w:val="0"/>
        <w:bidi w:val="0"/>
        <w:adjustRightInd w:val="0"/>
        <w:spacing w:line="3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（1）中标通知书（如果有）；</w:t>
      </w:r>
    </w:p>
    <w:p w14:paraId="1FD80427">
      <w:pPr>
        <w:pageBreakBefore w:val="0"/>
        <w:kinsoku/>
        <w:overflowPunct/>
        <w:topLinePunct w:val="0"/>
        <w:autoSpaceDE w:val="0"/>
        <w:autoSpaceDN w:val="0"/>
        <w:bidi w:val="0"/>
        <w:adjustRightInd w:val="0"/>
        <w:spacing w:line="3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（2）投标函及其附录（如果有）；</w:t>
      </w:r>
    </w:p>
    <w:p w14:paraId="21F0EAFE">
      <w:pPr>
        <w:pageBreakBefore w:val="0"/>
        <w:kinsoku/>
        <w:overflowPunct/>
        <w:topLinePunct w:val="0"/>
        <w:autoSpaceDE w:val="0"/>
        <w:autoSpaceDN w:val="0"/>
        <w:bidi w:val="0"/>
        <w:adjustRightInd w:val="0"/>
        <w:spacing w:line="3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（3）专用合同条款及其附件；</w:t>
      </w:r>
    </w:p>
    <w:p w14:paraId="239D7B88">
      <w:pPr>
        <w:pageBreakBefore w:val="0"/>
        <w:kinsoku/>
        <w:overflowPunct/>
        <w:topLinePunct w:val="0"/>
        <w:autoSpaceDE w:val="0"/>
        <w:autoSpaceDN w:val="0"/>
        <w:bidi w:val="0"/>
        <w:adjustRightInd w:val="0"/>
        <w:spacing w:line="3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（4）通用合同条款；</w:t>
      </w:r>
    </w:p>
    <w:p w14:paraId="353C2E80">
      <w:pPr>
        <w:pageBreakBefore w:val="0"/>
        <w:kinsoku/>
        <w:overflowPunct/>
        <w:topLinePunct w:val="0"/>
        <w:autoSpaceDE w:val="0"/>
        <w:autoSpaceDN w:val="0"/>
        <w:bidi w:val="0"/>
        <w:adjustRightInd w:val="0"/>
        <w:spacing w:line="3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（5）已标价工程量清单或预算书；</w:t>
      </w:r>
    </w:p>
    <w:p w14:paraId="76BB4063">
      <w:pPr>
        <w:pageBreakBefore w:val="0"/>
        <w:kinsoku/>
        <w:overflowPunct/>
        <w:topLinePunct w:val="0"/>
        <w:autoSpaceDE w:val="0"/>
        <w:autoSpaceDN w:val="0"/>
        <w:bidi w:val="0"/>
        <w:adjustRightInd w:val="0"/>
        <w:spacing w:line="3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（6）其他合同文件。</w:t>
      </w:r>
    </w:p>
    <w:p w14:paraId="60F54666">
      <w:pPr>
        <w:pageBreakBefore w:val="0"/>
        <w:kinsoku/>
        <w:overflowPunct/>
        <w:topLinePunct w:val="0"/>
        <w:autoSpaceDE w:val="0"/>
        <w:autoSpaceDN w:val="0"/>
        <w:bidi w:val="0"/>
        <w:adjustRightInd w:val="0"/>
        <w:spacing w:line="3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在合同订立及履行过程中形成的与合同有关的文件均构成合同文件组成部分。</w:t>
      </w:r>
    </w:p>
    <w:p w14:paraId="092C6ACE">
      <w:pPr>
        <w:pageBreakBefore w:val="0"/>
        <w:kinsoku/>
        <w:overflowPunct/>
        <w:topLinePunct w:val="0"/>
        <w:autoSpaceDE w:val="0"/>
        <w:autoSpaceDN w:val="0"/>
        <w:bidi w:val="0"/>
        <w:adjustRightInd w:val="0"/>
        <w:spacing w:line="3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376F45DF">
      <w:pPr>
        <w:pStyle w:val="2"/>
        <w:pageBreakBefore w:val="0"/>
        <w:kinsoku/>
        <w:overflowPunct/>
        <w:topLinePunct w:val="0"/>
        <w:bidi w:val="0"/>
        <w:spacing w:before="0" w:after="0" w:line="380" w:lineRule="exact"/>
        <w:ind w:firstLine="420" w:firstLineChars="200"/>
        <w:rPr>
          <w:rFonts w:hint="eastAsia" w:ascii="宋体" w:hAnsi="宋体" w:eastAsia="宋体" w:cs="宋体"/>
          <w:b w:val="0"/>
          <w:color w:val="auto"/>
          <w:sz w:val="21"/>
          <w:szCs w:val="21"/>
          <w:highlight w:val="none"/>
          <w:lang w:eastAsia="zh-CN"/>
        </w:rPr>
      </w:pPr>
      <w:bookmarkStart w:id="40" w:name="_Toc351203487"/>
      <w:r>
        <w:rPr>
          <w:rFonts w:hint="eastAsia" w:ascii="宋体" w:hAnsi="宋体" w:eastAsia="宋体" w:cs="宋体"/>
          <w:b w:val="0"/>
          <w:color w:val="auto"/>
          <w:sz w:val="21"/>
          <w:szCs w:val="21"/>
          <w:highlight w:val="none"/>
          <w:lang w:eastAsia="zh-CN"/>
        </w:rPr>
        <w:t>七、承诺</w:t>
      </w:r>
      <w:bookmarkEnd w:id="40"/>
    </w:p>
    <w:p w14:paraId="0F9D74BC">
      <w:pPr>
        <w:pageBreakBefore w:val="0"/>
        <w:kinsoku/>
        <w:overflowPunct/>
        <w:topLinePunct w:val="0"/>
        <w:bidi w:val="0"/>
        <w:spacing w:line="3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1.发包人承诺按照法律规定履行项目审批手续、筹集工程建设资金并按照合同约定的期限和方式支付合同价款。</w:t>
      </w:r>
    </w:p>
    <w:p w14:paraId="6E60DABD">
      <w:pPr>
        <w:pageBreakBefore w:val="0"/>
        <w:kinsoku/>
        <w:overflowPunct/>
        <w:topLinePunct w:val="0"/>
        <w:bidi w:val="0"/>
        <w:spacing w:line="3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1FD9633C">
      <w:pPr>
        <w:pageBreakBefore w:val="0"/>
        <w:kinsoku/>
        <w:overflowPunct/>
        <w:topLinePunct w:val="0"/>
        <w:bidi w:val="0"/>
        <w:spacing w:line="3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3.发包人和承包人通过招投标形式签订合同的，双方理解并承诺不再就同一工程另行签订与合同实质性内容相背离的协议。</w:t>
      </w:r>
    </w:p>
    <w:p w14:paraId="093FED5F">
      <w:pPr>
        <w:pStyle w:val="2"/>
        <w:pageBreakBefore w:val="0"/>
        <w:kinsoku/>
        <w:overflowPunct/>
        <w:topLinePunct w:val="0"/>
        <w:bidi w:val="0"/>
        <w:spacing w:before="0" w:after="0" w:line="380" w:lineRule="exact"/>
        <w:ind w:firstLine="420" w:firstLineChars="200"/>
        <w:rPr>
          <w:rFonts w:hint="eastAsia" w:ascii="宋体" w:hAnsi="宋体" w:eastAsia="宋体" w:cs="宋体"/>
          <w:b w:val="0"/>
          <w:color w:val="auto"/>
          <w:sz w:val="21"/>
          <w:szCs w:val="21"/>
          <w:highlight w:val="none"/>
          <w:lang w:eastAsia="zh-CN"/>
        </w:rPr>
      </w:pPr>
      <w:bookmarkStart w:id="41" w:name="_Toc351203488"/>
      <w:r>
        <w:rPr>
          <w:rFonts w:hint="eastAsia" w:ascii="宋体" w:hAnsi="宋体" w:eastAsia="宋体" w:cs="宋体"/>
          <w:b w:val="0"/>
          <w:color w:val="auto"/>
          <w:sz w:val="21"/>
          <w:szCs w:val="21"/>
          <w:highlight w:val="none"/>
          <w:lang w:eastAsia="zh-CN"/>
        </w:rPr>
        <w:t>八、词语含义</w:t>
      </w:r>
      <w:bookmarkEnd w:id="41"/>
    </w:p>
    <w:p w14:paraId="74CC3EEA">
      <w:pPr>
        <w:pageBreakBefore w:val="0"/>
        <w:kinsoku/>
        <w:overflowPunct/>
        <w:topLinePunct w:val="0"/>
        <w:bidi w:val="0"/>
        <w:spacing w:line="3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本协议书中词语含义与第二部分通用合同条款中赋予的含义相同。</w:t>
      </w:r>
    </w:p>
    <w:p w14:paraId="07FD279C">
      <w:pPr>
        <w:pStyle w:val="2"/>
        <w:pageBreakBefore w:val="0"/>
        <w:kinsoku/>
        <w:overflowPunct/>
        <w:topLinePunct w:val="0"/>
        <w:bidi w:val="0"/>
        <w:spacing w:before="0" w:after="0" w:line="380" w:lineRule="exact"/>
        <w:ind w:firstLine="420" w:firstLineChars="200"/>
        <w:rPr>
          <w:rFonts w:hint="eastAsia" w:ascii="宋体" w:hAnsi="宋体" w:eastAsia="宋体" w:cs="宋体"/>
          <w:color w:val="auto"/>
          <w:sz w:val="21"/>
          <w:szCs w:val="21"/>
          <w:highlight w:val="none"/>
          <w:lang w:eastAsia="zh-CN"/>
        </w:rPr>
      </w:pPr>
      <w:bookmarkStart w:id="42" w:name="_Toc351203489"/>
      <w:r>
        <w:rPr>
          <w:rFonts w:hint="eastAsia" w:ascii="宋体" w:hAnsi="宋体" w:eastAsia="宋体" w:cs="宋体"/>
          <w:b w:val="0"/>
          <w:color w:val="auto"/>
          <w:sz w:val="21"/>
          <w:szCs w:val="21"/>
          <w:highlight w:val="none"/>
          <w:lang w:eastAsia="zh-CN"/>
        </w:rPr>
        <w:t>九、签订时间</w:t>
      </w:r>
      <w:bookmarkEnd w:id="42"/>
    </w:p>
    <w:p w14:paraId="5040F83B">
      <w:pPr>
        <w:pageBreakBefore w:val="0"/>
        <w:kinsoku/>
        <w:overflowPunct/>
        <w:topLinePunct w:val="0"/>
        <w:bidi w:val="0"/>
        <w:spacing w:line="3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日签订。</w:t>
      </w:r>
    </w:p>
    <w:p w14:paraId="79324A16">
      <w:pPr>
        <w:pStyle w:val="2"/>
        <w:pageBreakBefore w:val="0"/>
        <w:kinsoku/>
        <w:overflowPunct/>
        <w:topLinePunct w:val="0"/>
        <w:bidi w:val="0"/>
        <w:spacing w:before="0" w:after="0" w:line="380" w:lineRule="exact"/>
        <w:ind w:firstLine="420" w:firstLineChars="200"/>
        <w:rPr>
          <w:rFonts w:hint="eastAsia" w:ascii="宋体" w:hAnsi="宋体" w:eastAsia="宋体" w:cs="宋体"/>
          <w:color w:val="auto"/>
          <w:sz w:val="21"/>
          <w:szCs w:val="21"/>
          <w:highlight w:val="none"/>
          <w:lang w:eastAsia="zh-CN"/>
        </w:rPr>
      </w:pPr>
      <w:bookmarkStart w:id="43" w:name="_Toc351203490"/>
      <w:r>
        <w:rPr>
          <w:rFonts w:hint="eastAsia" w:ascii="宋体" w:hAnsi="宋体" w:eastAsia="宋体" w:cs="宋体"/>
          <w:b w:val="0"/>
          <w:color w:val="auto"/>
          <w:sz w:val="21"/>
          <w:szCs w:val="21"/>
          <w:highlight w:val="none"/>
          <w:lang w:eastAsia="zh-CN"/>
        </w:rPr>
        <w:t>十、签订地点</w:t>
      </w:r>
      <w:bookmarkEnd w:id="43"/>
    </w:p>
    <w:p w14:paraId="696A22AC">
      <w:pPr>
        <w:pageBreakBefore w:val="0"/>
        <w:kinsoku/>
        <w:overflowPunct/>
        <w:topLinePunct w:val="0"/>
        <w:bidi w:val="0"/>
        <w:spacing w:line="3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本合同在</w:t>
      </w:r>
      <w:r>
        <w:rPr>
          <w:rFonts w:hint="eastAsia" w:ascii="宋体" w:hAnsi="宋体" w:eastAsia="宋体" w:cs="宋体"/>
          <w:bCs/>
          <w:color w:val="auto"/>
          <w:sz w:val="21"/>
          <w:szCs w:val="21"/>
          <w:highlight w:val="none"/>
          <w:lang w:val="en-US" w:eastAsia="zh-CN"/>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签订。</w:t>
      </w:r>
    </w:p>
    <w:p w14:paraId="2A51C858">
      <w:pPr>
        <w:pStyle w:val="2"/>
        <w:pageBreakBefore w:val="0"/>
        <w:kinsoku/>
        <w:overflowPunct/>
        <w:topLinePunct w:val="0"/>
        <w:bidi w:val="0"/>
        <w:spacing w:before="0" w:after="0" w:line="380" w:lineRule="exact"/>
        <w:ind w:firstLine="420" w:firstLineChars="200"/>
        <w:rPr>
          <w:rFonts w:hint="eastAsia" w:ascii="宋体" w:hAnsi="宋体" w:eastAsia="宋体" w:cs="宋体"/>
          <w:color w:val="auto"/>
          <w:sz w:val="21"/>
          <w:szCs w:val="21"/>
          <w:highlight w:val="none"/>
          <w:lang w:eastAsia="zh-CN"/>
        </w:rPr>
      </w:pPr>
      <w:bookmarkStart w:id="44" w:name="_Toc351203491"/>
      <w:r>
        <w:rPr>
          <w:rFonts w:hint="eastAsia" w:ascii="宋体" w:hAnsi="宋体" w:eastAsia="宋体" w:cs="宋体"/>
          <w:b w:val="0"/>
          <w:color w:val="auto"/>
          <w:sz w:val="21"/>
          <w:szCs w:val="21"/>
          <w:highlight w:val="none"/>
          <w:lang w:eastAsia="zh-CN"/>
        </w:rPr>
        <w:t>十一、补充协议</w:t>
      </w:r>
      <w:bookmarkEnd w:id="44"/>
    </w:p>
    <w:p w14:paraId="1BC0BC5F">
      <w:pPr>
        <w:pageBreakBefore w:val="0"/>
        <w:kinsoku/>
        <w:overflowPunct/>
        <w:topLinePunct w:val="0"/>
        <w:bidi w:val="0"/>
        <w:spacing w:line="380" w:lineRule="exact"/>
        <w:ind w:firstLine="420" w:firstLineChars="200"/>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合同未尽事宜，合同当事人另行签订补充协议，补充协议是合同的组成部分。</w:t>
      </w:r>
    </w:p>
    <w:p w14:paraId="2CF96475">
      <w:pPr>
        <w:pStyle w:val="2"/>
        <w:pageBreakBefore w:val="0"/>
        <w:kinsoku/>
        <w:overflowPunct/>
        <w:topLinePunct w:val="0"/>
        <w:bidi w:val="0"/>
        <w:spacing w:before="0" w:after="0" w:line="380" w:lineRule="exact"/>
        <w:ind w:firstLine="420" w:firstLineChars="200"/>
        <w:rPr>
          <w:rFonts w:hint="eastAsia" w:ascii="宋体" w:hAnsi="宋体" w:eastAsia="宋体" w:cs="宋体"/>
          <w:color w:val="auto"/>
          <w:sz w:val="21"/>
          <w:szCs w:val="21"/>
          <w:highlight w:val="none"/>
          <w:lang w:eastAsia="zh-CN"/>
        </w:rPr>
      </w:pPr>
      <w:bookmarkStart w:id="45" w:name="_Toc351203492"/>
      <w:r>
        <w:rPr>
          <w:rFonts w:hint="eastAsia" w:ascii="宋体" w:hAnsi="宋体" w:eastAsia="宋体" w:cs="宋体"/>
          <w:b w:val="0"/>
          <w:color w:val="auto"/>
          <w:sz w:val="21"/>
          <w:szCs w:val="21"/>
          <w:highlight w:val="none"/>
          <w:lang w:eastAsia="zh-CN"/>
        </w:rPr>
        <w:t>十二、合同生效</w:t>
      </w:r>
      <w:bookmarkEnd w:id="45"/>
    </w:p>
    <w:p w14:paraId="6F4A5E54">
      <w:pPr>
        <w:pageBreakBefore w:val="0"/>
        <w:kinsoku/>
        <w:overflowPunct/>
        <w:topLinePunct w:val="0"/>
        <w:bidi w:val="0"/>
        <w:spacing w:line="3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本合同自发包人、承包人签字盖章后生效。</w:t>
      </w:r>
    </w:p>
    <w:p w14:paraId="4244ECA5">
      <w:pPr>
        <w:pStyle w:val="2"/>
        <w:pageBreakBefore w:val="0"/>
        <w:kinsoku/>
        <w:overflowPunct/>
        <w:topLinePunct w:val="0"/>
        <w:bidi w:val="0"/>
        <w:spacing w:before="0" w:after="0" w:line="380" w:lineRule="exact"/>
        <w:ind w:firstLine="420" w:firstLineChars="200"/>
        <w:rPr>
          <w:rFonts w:hint="eastAsia" w:ascii="宋体" w:hAnsi="宋体" w:eastAsia="宋体" w:cs="宋体"/>
          <w:color w:val="auto"/>
          <w:sz w:val="21"/>
          <w:szCs w:val="21"/>
          <w:highlight w:val="none"/>
          <w:lang w:eastAsia="zh-CN"/>
        </w:rPr>
      </w:pPr>
      <w:bookmarkStart w:id="46" w:name="_Toc351203493"/>
      <w:r>
        <w:rPr>
          <w:rFonts w:hint="eastAsia" w:ascii="宋体" w:hAnsi="宋体" w:eastAsia="宋体" w:cs="宋体"/>
          <w:b w:val="0"/>
          <w:color w:val="auto"/>
          <w:sz w:val="21"/>
          <w:szCs w:val="21"/>
          <w:highlight w:val="none"/>
          <w:lang w:eastAsia="zh-CN"/>
        </w:rPr>
        <w:t>十三、合同份数</w:t>
      </w:r>
      <w:bookmarkEnd w:id="46"/>
    </w:p>
    <w:p w14:paraId="371B3B7C">
      <w:pPr>
        <w:pageBreakBefore w:val="0"/>
        <w:kinsoku/>
        <w:overflowPunct/>
        <w:topLinePunct w:val="0"/>
        <w:bidi w:val="0"/>
        <w:spacing w:line="3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w:t>
      </w:r>
      <w:r>
        <w:rPr>
          <w:rFonts w:hint="eastAsia" w:ascii="宋体" w:hAnsi="宋体" w:eastAsia="宋体" w:cs="宋体"/>
          <w:bCs/>
          <w:color w:val="auto"/>
          <w:sz w:val="21"/>
          <w:szCs w:val="21"/>
          <w:highlight w:val="none"/>
          <w:lang w:eastAsia="zh-CN"/>
        </w:rPr>
        <w:t>一式</w:t>
      </w:r>
      <w:r>
        <w:rPr>
          <w:rFonts w:hint="eastAsia" w:ascii="宋体" w:hAnsi="宋体" w:eastAsia="宋体" w:cs="宋体"/>
          <w:bCs/>
          <w:color w:val="auto"/>
          <w:sz w:val="21"/>
          <w:szCs w:val="21"/>
          <w:highlight w:val="none"/>
          <w:lang w:val="en-US" w:eastAsia="zh-CN"/>
        </w:rPr>
        <w:t>五</w:t>
      </w:r>
      <w:r>
        <w:rPr>
          <w:rFonts w:hint="eastAsia" w:ascii="宋体" w:hAnsi="宋体" w:eastAsia="宋体" w:cs="宋体"/>
          <w:bCs/>
          <w:color w:val="auto"/>
          <w:sz w:val="21"/>
          <w:szCs w:val="21"/>
          <w:highlight w:val="none"/>
          <w:lang w:eastAsia="zh-CN"/>
        </w:rPr>
        <w:t>份</w:t>
      </w:r>
      <w:r>
        <w:rPr>
          <w:rFonts w:hint="eastAsia" w:ascii="宋体" w:hAnsi="宋体" w:eastAsia="宋体" w:cs="宋体"/>
          <w:bCs/>
          <w:color w:val="auto"/>
          <w:sz w:val="21"/>
          <w:szCs w:val="21"/>
          <w:highlight w:val="none"/>
        </w:rPr>
        <w:t>，均具有同等法律效力，发包人执贰份，承包人执</w:t>
      </w:r>
      <w:r>
        <w:rPr>
          <w:rFonts w:hint="eastAsia" w:ascii="宋体" w:hAnsi="宋体" w:eastAsia="宋体" w:cs="宋体"/>
          <w:bCs/>
          <w:color w:val="auto"/>
          <w:sz w:val="21"/>
          <w:szCs w:val="21"/>
          <w:highlight w:val="none"/>
          <w:lang w:val="en-US" w:eastAsia="zh-CN"/>
        </w:rPr>
        <w:t>二</w:t>
      </w:r>
      <w:r>
        <w:rPr>
          <w:rFonts w:hint="eastAsia" w:ascii="宋体" w:hAnsi="宋体" w:eastAsia="宋体" w:cs="宋体"/>
          <w:bCs/>
          <w:color w:val="auto"/>
          <w:sz w:val="21"/>
          <w:szCs w:val="21"/>
          <w:highlight w:val="none"/>
        </w:rPr>
        <w:t>份</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代理机构资料存档一份</w:t>
      </w:r>
      <w:r>
        <w:rPr>
          <w:rFonts w:hint="eastAsia" w:ascii="宋体" w:hAnsi="宋体" w:eastAsia="宋体" w:cs="宋体"/>
          <w:bCs/>
          <w:color w:val="auto"/>
          <w:sz w:val="21"/>
          <w:szCs w:val="21"/>
          <w:highlight w:val="none"/>
        </w:rPr>
        <w:t>。</w:t>
      </w:r>
    </w:p>
    <w:p w14:paraId="47EC6220">
      <w:pPr>
        <w:pageBreakBefore w:val="0"/>
        <w:kinsoku/>
        <w:overflowPunct/>
        <w:topLinePunct w:val="0"/>
        <w:bidi w:val="0"/>
        <w:spacing w:line="380" w:lineRule="exact"/>
        <w:ind w:firstLine="420" w:firstLineChars="200"/>
        <w:rPr>
          <w:rFonts w:hint="eastAsia" w:ascii="宋体" w:hAnsi="宋体" w:eastAsia="宋体" w:cs="宋体"/>
          <w:color w:val="auto"/>
          <w:sz w:val="21"/>
          <w:szCs w:val="21"/>
          <w:highlight w:val="none"/>
        </w:rPr>
      </w:pPr>
    </w:p>
    <w:p w14:paraId="3ED4605C">
      <w:pPr>
        <w:pageBreakBefore w:val="0"/>
        <w:kinsoku/>
        <w:overflowPunct/>
        <w:topLinePunct w:val="0"/>
        <w:bidi w:val="0"/>
        <w:spacing w:line="3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公章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                        承包人：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公章</w:t>
      </w:r>
      <w:r>
        <w:rPr>
          <w:rFonts w:hint="eastAsia" w:ascii="宋体" w:hAnsi="宋体" w:eastAsia="宋体" w:cs="宋体"/>
          <w:color w:val="auto"/>
          <w:sz w:val="21"/>
          <w:szCs w:val="21"/>
          <w:highlight w:val="none"/>
          <w:lang w:eastAsia="zh-CN"/>
        </w:rPr>
        <w:t>）</w:t>
      </w:r>
    </w:p>
    <w:p w14:paraId="4664CD5B">
      <w:pPr>
        <w:pageBreakBefore w:val="0"/>
        <w:kinsoku/>
        <w:overflowPunct/>
        <w:topLinePunct w:val="0"/>
        <w:bidi w:val="0"/>
        <w:spacing w:line="3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法定代表人或其委托代理人：            法定代表人或其委托代理人：</w:t>
      </w:r>
    </w:p>
    <w:p w14:paraId="3B45749A">
      <w:pPr>
        <w:pageBreakBefore w:val="0"/>
        <w:kinsoku/>
        <w:overflowPunct/>
        <w:topLinePunct w:val="0"/>
        <w:bidi w:val="0"/>
        <w:spacing w:line="3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（签字或盖章）                       （签字或盖章）</w:t>
      </w:r>
    </w:p>
    <w:p w14:paraId="311389BD">
      <w:pPr>
        <w:pageBreakBefore w:val="0"/>
        <w:kinsoku/>
        <w:overflowPunct/>
        <w:topLinePunct w:val="0"/>
        <w:bidi w:val="0"/>
        <w:spacing w:line="3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                                电话：</w:t>
      </w:r>
    </w:p>
    <w:p w14:paraId="369CB744">
      <w:pPr>
        <w:pageBreakBefore w:val="0"/>
        <w:kinsoku/>
        <w:overflowPunct/>
        <w:topLinePunct w:val="0"/>
        <w:bidi w:val="0"/>
        <w:spacing w:line="3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                            开户银行：</w:t>
      </w:r>
    </w:p>
    <w:p w14:paraId="0FDD24C4">
      <w:pPr>
        <w:pageBreakBefore w:val="0"/>
        <w:kinsoku/>
        <w:overflowPunct/>
        <w:topLinePunct w:val="0"/>
        <w:bidi w:val="0"/>
        <w:spacing w:line="3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账号：                                账号：</w:t>
      </w:r>
    </w:p>
    <w:p w14:paraId="5E08546B">
      <w:pPr>
        <w:pageBreakBefore w:val="0"/>
        <w:kinsoku/>
        <w:overflowPunct/>
        <w:topLinePunct w:val="0"/>
        <w:bidi w:val="0"/>
        <w:spacing w:line="380" w:lineRule="exact"/>
        <w:jc w:val="center"/>
        <w:rPr>
          <w:rFonts w:hint="eastAsia" w:ascii="宋体" w:hAnsi="宋体" w:eastAsia="宋体" w:cs="宋体"/>
          <w:b/>
          <w:bCs/>
          <w:color w:val="auto"/>
          <w:sz w:val="30"/>
          <w:szCs w:val="30"/>
          <w:highlight w:val="none"/>
        </w:rPr>
      </w:pPr>
      <w:bookmarkStart w:id="47" w:name="_Toc498006745"/>
      <w:r>
        <w:rPr>
          <w:rFonts w:hint="eastAsia" w:ascii="宋体" w:hAnsi="宋体" w:eastAsia="宋体" w:cs="宋体"/>
          <w:color w:val="auto"/>
          <w:sz w:val="21"/>
          <w:szCs w:val="21"/>
          <w:highlight w:val="none"/>
        </w:rPr>
        <w:br w:type="page"/>
      </w:r>
      <w:r>
        <w:rPr>
          <w:rFonts w:hint="eastAsia" w:ascii="宋体" w:hAnsi="宋体" w:eastAsia="宋体" w:cs="宋体"/>
          <w:b/>
          <w:bCs/>
          <w:color w:val="auto"/>
          <w:sz w:val="30"/>
          <w:szCs w:val="30"/>
          <w:highlight w:val="none"/>
        </w:rPr>
        <w:t>第二部分 通用合同条款</w:t>
      </w:r>
      <w:bookmarkEnd w:id="47"/>
    </w:p>
    <w:p w14:paraId="6AB8AE40">
      <w:pPr>
        <w:pageBreakBefore w:val="0"/>
        <w:kinsoku/>
        <w:overflowPunct/>
        <w:topLinePunct w:val="0"/>
        <w:bidi w:val="0"/>
        <w:spacing w:line="380" w:lineRule="exact"/>
        <w:jc w:val="center"/>
        <w:rPr>
          <w:rFonts w:hint="eastAsia" w:ascii="宋体" w:hAnsi="宋体" w:eastAsia="宋体" w:cs="宋体"/>
          <w:color w:val="auto"/>
          <w:sz w:val="21"/>
          <w:szCs w:val="21"/>
          <w:highlight w:val="none"/>
        </w:rPr>
      </w:pPr>
      <w:r>
        <w:rPr>
          <w:rFonts w:hint="eastAsia" w:ascii="宋体" w:hAnsi="宋体" w:cs="宋体"/>
          <w:b/>
          <w:color w:val="auto"/>
          <w:kern w:val="0"/>
          <w:sz w:val="21"/>
          <w:szCs w:val="21"/>
          <w:highlight w:val="none"/>
          <w:lang w:val="en-US" w:eastAsia="zh-CN"/>
        </w:rPr>
        <w:t xml:space="preserve"> </w:t>
      </w:r>
      <w:r>
        <w:rPr>
          <w:rFonts w:hint="eastAsia" w:ascii="宋体" w:hAnsi="宋体" w:eastAsia="宋体" w:cs="宋体"/>
          <w:b/>
          <w:color w:val="auto"/>
          <w:kern w:val="0"/>
          <w:sz w:val="21"/>
          <w:szCs w:val="21"/>
          <w:highlight w:val="none"/>
        </w:rPr>
        <w:t>《建设工程施工合同（示范文本）》（GF</w:t>
      </w:r>
      <w:r>
        <w:rPr>
          <w:rFonts w:hint="eastAsia" w:ascii="宋体" w:hAnsi="宋体" w:eastAsia="宋体" w:cs="宋体"/>
          <w:b/>
          <w:color w:val="auto"/>
          <w:kern w:val="0"/>
          <w:sz w:val="21"/>
          <w:szCs w:val="21"/>
          <w:highlight w:val="none"/>
          <w:lang w:val="en-US" w:eastAsia="zh-CN"/>
        </w:rPr>
        <w:t>-</w:t>
      </w:r>
      <w:r>
        <w:rPr>
          <w:rFonts w:hint="eastAsia" w:ascii="宋体" w:hAnsi="宋体" w:eastAsia="宋体" w:cs="宋体"/>
          <w:b/>
          <w:color w:val="auto"/>
          <w:kern w:val="0"/>
          <w:sz w:val="21"/>
          <w:szCs w:val="21"/>
          <w:highlight w:val="none"/>
        </w:rPr>
        <w:t>2017</w:t>
      </w:r>
      <w:r>
        <w:rPr>
          <w:rFonts w:hint="eastAsia" w:ascii="宋体" w:hAnsi="宋体" w:eastAsia="宋体" w:cs="宋体"/>
          <w:b/>
          <w:color w:val="auto"/>
          <w:kern w:val="0"/>
          <w:sz w:val="21"/>
          <w:szCs w:val="21"/>
          <w:highlight w:val="none"/>
          <w:lang w:val="en-US" w:eastAsia="zh-CN"/>
        </w:rPr>
        <w:t>-</w:t>
      </w:r>
      <w:r>
        <w:rPr>
          <w:rFonts w:hint="eastAsia" w:ascii="宋体" w:hAnsi="宋体" w:eastAsia="宋体" w:cs="宋体"/>
          <w:b/>
          <w:color w:val="auto"/>
          <w:kern w:val="0"/>
          <w:sz w:val="21"/>
          <w:szCs w:val="21"/>
          <w:highlight w:val="none"/>
        </w:rPr>
        <w:t>0201）</w:t>
      </w:r>
      <w:bookmarkStart w:id="48" w:name="_Toc498006746"/>
    </w:p>
    <w:p w14:paraId="31520CDE">
      <w:pPr>
        <w:pStyle w:val="4"/>
        <w:pageBreakBefore w:val="0"/>
        <w:kinsoku/>
        <w:overflowPunct/>
        <w:topLinePunct w:val="0"/>
        <w:bidi w:val="0"/>
        <w:spacing w:before="0" w:after="0" w:line="380" w:lineRule="exact"/>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第三部分 专用合同条款</w:t>
      </w:r>
      <w:bookmarkEnd w:id="48"/>
    </w:p>
    <w:p w14:paraId="20FDEE48">
      <w:pPr>
        <w:pStyle w:val="2"/>
        <w:pageBreakBefore w:val="0"/>
        <w:widowControl w:val="0"/>
        <w:kinsoku/>
        <w:wordWrap/>
        <w:overflowPunct/>
        <w:topLinePunct w:val="0"/>
        <w:bidi w:val="0"/>
        <w:spacing w:line="380" w:lineRule="exact"/>
        <w:ind w:left="0" w:leftChars="0" w:firstLine="422" w:firstLineChars="200"/>
        <w:textAlignment w:val="auto"/>
        <w:rPr>
          <w:rFonts w:hint="eastAsia" w:ascii="宋体" w:hAnsi="宋体" w:eastAsia="宋体" w:cs="宋体"/>
          <w:color w:val="auto"/>
          <w:sz w:val="21"/>
          <w:szCs w:val="21"/>
          <w:highlight w:val="none"/>
          <w:lang w:eastAsia="zh-CN"/>
        </w:rPr>
      </w:pPr>
      <w:bookmarkStart w:id="49" w:name="_Toc351203633"/>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1</w:t>
      </w:r>
      <w:bookmarkStart w:id="50" w:name="_Toc296347155"/>
      <w:bookmarkStart w:id="51" w:name="_Toc297048342"/>
      <w:bookmarkStart w:id="52" w:name="_Toc297120456"/>
      <w:bookmarkStart w:id="53" w:name="_Toc296891196"/>
      <w:bookmarkStart w:id="54" w:name="_Toc292559361"/>
      <w:bookmarkStart w:id="55" w:name="_Toc296503156"/>
      <w:bookmarkStart w:id="56" w:name="_Toc296944495"/>
      <w:bookmarkStart w:id="57" w:name="_Toc296346657"/>
      <w:bookmarkStart w:id="58" w:name="_Toc292559866"/>
      <w:bookmarkStart w:id="59" w:name="_Toc296890984"/>
      <w:r>
        <w:rPr>
          <w:rFonts w:hint="eastAsia" w:ascii="宋体" w:hAnsi="宋体" w:eastAsia="宋体" w:cs="宋体"/>
          <w:color w:val="auto"/>
          <w:sz w:val="21"/>
          <w:szCs w:val="21"/>
          <w:highlight w:val="none"/>
          <w:lang w:eastAsia="zh-CN"/>
        </w:rPr>
        <w:t>. 一般约定</w:t>
      </w:r>
      <w:bookmarkEnd w:id="49"/>
    </w:p>
    <w:bookmarkEnd w:id="50"/>
    <w:bookmarkEnd w:id="51"/>
    <w:bookmarkEnd w:id="52"/>
    <w:bookmarkEnd w:id="53"/>
    <w:bookmarkEnd w:id="54"/>
    <w:bookmarkEnd w:id="55"/>
    <w:bookmarkEnd w:id="56"/>
    <w:bookmarkEnd w:id="57"/>
    <w:bookmarkEnd w:id="58"/>
    <w:bookmarkEnd w:id="59"/>
    <w:p w14:paraId="73BEECF1">
      <w:pPr>
        <w:pageBreakBefore w:val="0"/>
        <w:widowControl w:val="0"/>
        <w:kinsoku/>
        <w:wordWrap/>
        <w:overflowPunct/>
        <w:topLinePunct w:val="0"/>
        <w:bidi w:val="0"/>
        <w:spacing w:line="380" w:lineRule="exact"/>
        <w:ind w:left="0" w:leftChars="0" w:firstLine="420" w:firstLineChars="200"/>
        <w:textAlignment w:val="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词语定义</w:t>
      </w:r>
    </w:p>
    <w:p w14:paraId="70FBB2FC">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1.1.1合同</w:t>
      </w:r>
    </w:p>
    <w:p w14:paraId="29405A66">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1.1.1.10其他合同文件包括：</w:t>
      </w:r>
      <w:r>
        <w:rPr>
          <w:rFonts w:hint="eastAsia" w:ascii="宋体" w:hAnsi="宋体" w:eastAsia="宋体" w:cs="宋体"/>
          <w:color w:val="auto"/>
          <w:sz w:val="21"/>
          <w:szCs w:val="21"/>
          <w:highlight w:val="none"/>
          <w:u w:val="single"/>
        </w:rPr>
        <w:t>在合同订立及履行过程中，发承包双方书面确认的对合同内容有实质性影响的会议纪要、设计变更、工程变更签证、补充协议、备忘录等资料</w:t>
      </w:r>
      <w:r>
        <w:rPr>
          <w:rFonts w:hint="eastAsia" w:ascii="宋体" w:hAnsi="宋体" w:eastAsia="宋体" w:cs="宋体"/>
          <w:color w:val="auto"/>
          <w:sz w:val="21"/>
          <w:szCs w:val="21"/>
          <w:highlight w:val="none"/>
        </w:rPr>
        <w:t>。</w:t>
      </w:r>
    </w:p>
    <w:p w14:paraId="0FB2B1E6">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合同当事人及其他相关方</w:t>
      </w:r>
    </w:p>
    <w:p w14:paraId="56F66289">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监理人：</w:t>
      </w:r>
    </w:p>
    <w:p w14:paraId="2D99F13B">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sz w:val="21"/>
          <w:szCs w:val="21"/>
          <w:highlight w:val="none"/>
          <w:lang w:eastAsia="zh-CN"/>
        </w:rPr>
        <w:t>：</w:t>
      </w:r>
    </w:p>
    <w:p w14:paraId="39E23F5B">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w:t>
      </w:r>
    </w:p>
    <w:p w14:paraId="12B07983">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w:t>
      </w:r>
    </w:p>
    <w:p w14:paraId="589CF0C9">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w:t>
      </w:r>
    </w:p>
    <w:p w14:paraId="28454F8C">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w:t>
      </w:r>
    </w:p>
    <w:p w14:paraId="5BC78849">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设计人：</w:t>
      </w:r>
    </w:p>
    <w:p w14:paraId="1EF8541C">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w:t>
      </w:r>
    </w:p>
    <w:p w14:paraId="084893B1">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w:t>
      </w:r>
    </w:p>
    <w:p w14:paraId="65AC52CA">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59AEADC2">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w:t>
      </w:r>
    </w:p>
    <w:p w14:paraId="632B8311">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w:t>
      </w:r>
    </w:p>
    <w:p w14:paraId="5212B0CF">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工程和设备</w:t>
      </w:r>
    </w:p>
    <w:p w14:paraId="01E4F9C3">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 xml:space="preserve"> 作为施工现场组成部分的其他场所包括：</w:t>
      </w:r>
      <w:r>
        <w:rPr>
          <w:rFonts w:hint="eastAsia" w:ascii="宋体" w:hAnsi="宋体" w:eastAsia="宋体" w:cs="宋体"/>
          <w:color w:val="auto"/>
          <w:sz w:val="21"/>
          <w:szCs w:val="21"/>
          <w:highlight w:val="none"/>
          <w:u w:val="single"/>
        </w:rPr>
        <w:t>由承包人根据现场条件确定，但须经发包人批准。应由承包人办理申请手续并承担相应费用，所涉费用，承包人在投标时已综合考虑，已包含发包价内，发包人不再额外予以补偿</w:t>
      </w:r>
      <w:r>
        <w:rPr>
          <w:rFonts w:hint="eastAsia" w:ascii="宋体" w:hAnsi="宋体" w:eastAsia="宋体" w:cs="宋体"/>
          <w:color w:val="auto"/>
          <w:sz w:val="21"/>
          <w:szCs w:val="21"/>
          <w:highlight w:val="none"/>
        </w:rPr>
        <w:t>。</w:t>
      </w:r>
    </w:p>
    <w:p w14:paraId="4537BA92">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1.1.3.</w:t>
      </w: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 xml:space="preserve"> 永久占地包括：</w:t>
      </w:r>
      <w:r>
        <w:rPr>
          <w:rFonts w:hint="eastAsia" w:ascii="宋体" w:hAnsi="宋体" w:eastAsia="宋体" w:cs="宋体"/>
          <w:color w:val="auto"/>
          <w:sz w:val="21"/>
          <w:szCs w:val="21"/>
          <w:highlight w:val="none"/>
          <w:u w:val="single"/>
        </w:rPr>
        <w:t>依据设计图纸确定</w:t>
      </w:r>
      <w:r>
        <w:rPr>
          <w:rFonts w:hint="eastAsia" w:ascii="宋体" w:hAnsi="宋体" w:eastAsia="宋体" w:cs="宋体"/>
          <w:color w:val="auto"/>
          <w:kern w:val="0"/>
          <w:sz w:val="21"/>
          <w:szCs w:val="21"/>
          <w:highlight w:val="none"/>
        </w:rPr>
        <w:t>。</w:t>
      </w:r>
    </w:p>
    <w:p w14:paraId="00694019">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1.1.3.</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临时占地包括：</w:t>
      </w:r>
      <w:r>
        <w:rPr>
          <w:rFonts w:hint="eastAsia" w:ascii="宋体" w:hAnsi="宋体" w:eastAsia="宋体" w:cs="宋体"/>
          <w:color w:val="auto"/>
          <w:sz w:val="21"/>
          <w:szCs w:val="21"/>
          <w:highlight w:val="none"/>
          <w:u w:val="single"/>
        </w:rPr>
        <w:t xml:space="preserve"> 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w:t>
      </w:r>
      <w:r>
        <w:rPr>
          <w:rFonts w:hint="eastAsia" w:ascii="宋体" w:hAnsi="宋体" w:eastAsia="宋体" w:cs="宋体"/>
          <w:color w:val="auto"/>
          <w:kern w:val="0"/>
          <w:sz w:val="21"/>
          <w:szCs w:val="21"/>
          <w:highlight w:val="none"/>
        </w:rPr>
        <w:t>。</w:t>
      </w:r>
    </w:p>
    <w:p w14:paraId="770A7749">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p>
    <w:p w14:paraId="0D0F0A88">
      <w:pPr>
        <w:pageBreakBefore w:val="0"/>
        <w:widowControl w:val="0"/>
        <w:kinsoku/>
        <w:wordWrap/>
        <w:overflowPunct/>
        <w:topLinePunct w:val="0"/>
        <w:autoSpaceDE w:val="0"/>
        <w:autoSpaceDN w:val="0"/>
        <w:bidi w:val="0"/>
        <w:adjustRightInd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适用于合同的其他规范性文件：</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中华人民共和国民法典》</w:t>
      </w:r>
      <w:r>
        <w:rPr>
          <w:rFonts w:hint="eastAsia" w:ascii="宋体" w:hAnsi="宋体" w:cs="宋体"/>
          <w:color w:val="auto"/>
          <w:sz w:val="21"/>
          <w:szCs w:val="21"/>
          <w:highlight w:val="none"/>
          <w:u w:val="single"/>
          <w:lang w:val="en-US" w:eastAsia="zh-CN"/>
        </w:rPr>
        <w:t>《中华人民共和国招标投标法》</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中华人民共和国建筑法</w:t>
      </w:r>
      <w:r>
        <w:rPr>
          <w:rFonts w:hint="eastAsia" w:ascii="宋体" w:hAnsi="宋体" w:eastAsia="宋体" w:cs="宋体"/>
          <w:color w:val="auto"/>
          <w:sz w:val="21"/>
          <w:szCs w:val="21"/>
          <w:highlight w:val="none"/>
          <w:u w:val="single"/>
          <w:lang w:eastAsia="zh-CN"/>
        </w:rPr>
        <w:t>》《建设工程质量管理条例</w:t>
      </w:r>
      <w:r>
        <w:rPr>
          <w:rFonts w:hint="eastAsia" w:ascii="宋体" w:hAnsi="宋体" w:eastAsia="宋体" w:cs="宋体"/>
          <w:color w:val="auto"/>
          <w:sz w:val="21"/>
          <w:szCs w:val="21"/>
          <w:highlight w:val="none"/>
          <w:u w:val="single"/>
        </w:rPr>
        <w:t>》等</w:t>
      </w:r>
      <w:r>
        <w:rPr>
          <w:rFonts w:hint="eastAsia" w:ascii="宋体" w:hAnsi="宋体" w:eastAsia="宋体" w:cs="宋体"/>
          <w:color w:val="auto"/>
          <w:sz w:val="21"/>
          <w:szCs w:val="21"/>
          <w:highlight w:val="none"/>
        </w:rPr>
        <w:t>。</w:t>
      </w:r>
    </w:p>
    <w:p w14:paraId="71C29B83">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标准和规范</w:t>
      </w:r>
    </w:p>
    <w:p w14:paraId="4B323BBF">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1.4.1适用于工程的标准规范包括：</w:t>
      </w:r>
      <w:r>
        <w:rPr>
          <w:rFonts w:hint="eastAsia" w:ascii="宋体" w:hAnsi="宋体" w:eastAsia="宋体" w:cs="宋体"/>
          <w:color w:val="auto"/>
          <w:sz w:val="21"/>
          <w:szCs w:val="21"/>
          <w:highlight w:val="none"/>
          <w:u w:val="single"/>
        </w:rPr>
        <w:t>国家部委最新颁发的有关施工验收标准、规范，以及江苏省、淮安市、盱眙县建设以及环保等相关主管部门颁布的现行文件，前述标准对同一指标要求不一致的，以较为严格者为准</w:t>
      </w:r>
      <w:r>
        <w:rPr>
          <w:rFonts w:hint="eastAsia" w:ascii="宋体" w:hAnsi="宋体" w:eastAsia="宋体" w:cs="宋体"/>
          <w:color w:val="auto"/>
          <w:sz w:val="21"/>
          <w:szCs w:val="21"/>
          <w:highlight w:val="none"/>
        </w:rPr>
        <w:t>。</w:t>
      </w:r>
    </w:p>
    <w:p w14:paraId="0DBD9E59">
      <w:pPr>
        <w:pageBreakBefore w:val="0"/>
        <w:widowControl w:val="0"/>
        <w:kinsoku/>
        <w:wordWrap/>
        <w:overflowPunct/>
        <w:topLinePunct w:val="0"/>
        <w:bidi w:val="0"/>
        <w:spacing w:line="380" w:lineRule="exact"/>
        <w:ind w:left="0" w:leftChars="0" w:firstLine="420" w:firstLineChars="200"/>
        <w:textAlignment w:val="auto"/>
        <w:outlineLvl w:val="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1.4.2 发包人提供国外标准、规范的名称</w:t>
      </w:r>
      <w:r>
        <w:rPr>
          <w:rFonts w:hint="eastAsia" w:ascii="宋体" w:hAnsi="宋体" w:cs="宋体"/>
          <w:color w:val="auto"/>
          <w:kern w:val="0"/>
          <w:sz w:val="21"/>
          <w:szCs w:val="21"/>
          <w:highlight w:val="none"/>
          <w:lang w:eastAsia="zh-CN"/>
        </w:rPr>
        <w:t>：</w:t>
      </w:r>
    </w:p>
    <w:p w14:paraId="798E86E6">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发包人提供国外标准、规范的份数</w:t>
      </w:r>
      <w:r>
        <w:rPr>
          <w:rFonts w:hint="eastAsia" w:ascii="宋体" w:hAnsi="宋体" w:cs="宋体"/>
          <w:color w:val="auto"/>
          <w:kern w:val="0"/>
          <w:sz w:val="21"/>
          <w:szCs w:val="21"/>
          <w:highlight w:val="none"/>
          <w:lang w:eastAsia="zh-CN"/>
        </w:rPr>
        <w:t>：</w:t>
      </w:r>
    </w:p>
    <w:p w14:paraId="15FBB79D">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发包人提供国外标准、规范的名称</w:t>
      </w:r>
      <w:r>
        <w:rPr>
          <w:rFonts w:hint="eastAsia" w:ascii="宋体" w:hAnsi="宋体" w:cs="宋体"/>
          <w:color w:val="auto"/>
          <w:kern w:val="0"/>
          <w:sz w:val="21"/>
          <w:szCs w:val="21"/>
          <w:highlight w:val="none"/>
          <w:lang w:eastAsia="zh-CN"/>
        </w:rPr>
        <w:t>：</w:t>
      </w:r>
    </w:p>
    <w:p w14:paraId="15E14E16">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1.4.3发包人对工程的技术标准和功能要求的特殊要求：</w:t>
      </w:r>
      <w:r>
        <w:rPr>
          <w:rFonts w:hint="eastAsia" w:ascii="宋体" w:hAnsi="宋体" w:eastAsia="宋体" w:cs="宋体"/>
          <w:color w:val="auto"/>
          <w:sz w:val="21"/>
          <w:szCs w:val="21"/>
          <w:highlight w:val="none"/>
          <w:u w:val="single"/>
        </w:rPr>
        <w:t xml:space="preserve"> 按国家标准同时符合强制性规范验收要求 </w:t>
      </w:r>
      <w:r>
        <w:rPr>
          <w:rFonts w:hint="eastAsia" w:ascii="宋体" w:hAnsi="宋体" w:eastAsia="宋体" w:cs="宋体"/>
          <w:color w:val="auto"/>
          <w:sz w:val="21"/>
          <w:szCs w:val="21"/>
          <w:highlight w:val="none"/>
        </w:rPr>
        <w:t>。</w:t>
      </w:r>
    </w:p>
    <w:p w14:paraId="15ECC5A4">
      <w:pPr>
        <w:pageBreakBefore w:val="0"/>
        <w:widowControl w:val="0"/>
        <w:kinsoku/>
        <w:wordWrap/>
        <w:overflowPunct/>
        <w:topLinePunct w:val="0"/>
        <w:bidi w:val="0"/>
        <w:spacing w:line="380" w:lineRule="exact"/>
        <w:ind w:left="0" w:leftChars="0" w:firstLine="420" w:firstLineChars="200"/>
        <w:textAlignment w:val="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 合同文件的优先顺序</w:t>
      </w:r>
    </w:p>
    <w:p w14:paraId="1CBC97C3">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合同文件组成及优先顺序为：</w:t>
      </w:r>
      <w:r>
        <w:rPr>
          <w:rFonts w:hint="eastAsia" w:ascii="宋体" w:hAnsi="宋体" w:eastAsia="宋体" w:cs="宋体"/>
          <w:color w:val="auto"/>
          <w:sz w:val="21"/>
          <w:szCs w:val="21"/>
          <w:highlight w:val="none"/>
          <w:u w:val="single"/>
        </w:rPr>
        <w:t>中标通知书、投标函及其附录、招标文件、</w:t>
      </w:r>
      <w:r>
        <w:rPr>
          <w:rFonts w:hint="eastAsia" w:ascii="宋体" w:hAnsi="宋体" w:cs="宋体"/>
          <w:color w:val="auto"/>
          <w:sz w:val="21"/>
          <w:szCs w:val="21"/>
          <w:highlight w:val="none"/>
          <w:u w:val="single"/>
          <w:lang w:eastAsia="zh-CN"/>
        </w:rPr>
        <w:t>响应文件</w:t>
      </w:r>
      <w:r>
        <w:rPr>
          <w:rFonts w:hint="eastAsia" w:ascii="宋体" w:hAnsi="宋体" w:eastAsia="宋体" w:cs="宋体"/>
          <w:color w:val="auto"/>
          <w:sz w:val="21"/>
          <w:szCs w:val="21"/>
          <w:highlight w:val="none"/>
          <w:u w:val="single"/>
        </w:rPr>
        <w:t xml:space="preserve">、专用合同条款及其附件、通用合同条款、技术标准和要求、图纸、已标价的工程量清单  </w:t>
      </w:r>
      <w:r>
        <w:rPr>
          <w:rFonts w:hint="eastAsia" w:ascii="宋体" w:hAnsi="宋体" w:eastAsia="宋体" w:cs="宋体"/>
          <w:color w:val="auto"/>
          <w:sz w:val="21"/>
          <w:szCs w:val="21"/>
          <w:highlight w:val="none"/>
        </w:rPr>
        <w:t>。</w:t>
      </w:r>
    </w:p>
    <w:p w14:paraId="660F700D">
      <w:pPr>
        <w:pageBreakBefore w:val="0"/>
        <w:widowControl w:val="0"/>
        <w:kinsoku/>
        <w:wordWrap/>
        <w:overflowPunct/>
        <w:topLinePunct w:val="0"/>
        <w:bidi w:val="0"/>
        <w:spacing w:line="380" w:lineRule="exact"/>
        <w:ind w:left="0" w:leftChars="0" w:firstLine="420" w:firstLineChars="200"/>
        <w:textAlignment w:val="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 图纸和承包人文件</w:t>
      </w:r>
      <w:r>
        <w:rPr>
          <w:rFonts w:hint="eastAsia" w:ascii="宋体" w:hAnsi="宋体" w:eastAsia="宋体" w:cs="宋体"/>
          <w:color w:val="auto"/>
          <w:sz w:val="21"/>
          <w:szCs w:val="21"/>
          <w:highlight w:val="none"/>
        </w:rPr>
        <w:tab/>
      </w:r>
    </w:p>
    <w:p w14:paraId="56DB2C7A">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 图纸的提供</w:t>
      </w:r>
    </w:p>
    <w:p w14:paraId="4797F90A">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发包人向承包人提供图纸的期限：</w:t>
      </w:r>
      <w:r>
        <w:rPr>
          <w:rFonts w:hint="eastAsia" w:ascii="宋体" w:hAnsi="宋体" w:eastAsia="宋体" w:cs="宋体"/>
          <w:color w:val="auto"/>
          <w:sz w:val="21"/>
          <w:szCs w:val="21"/>
          <w:highlight w:val="none"/>
          <w:u w:val="single"/>
        </w:rPr>
        <w:t>开工前14日内</w:t>
      </w:r>
    </w:p>
    <w:p w14:paraId="0829AFB7">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发包人向承包人提供图纸的数量：</w:t>
      </w:r>
      <w:r>
        <w:rPr>
          <w:rFonts w:hint="eastAsia" w:ascii="宋体" w:hAnsi="宋体" w:eastAsia="宋体" w:cs="宋体"/>
          <w:color w:val="auto"/>
          <w:sz w:val="21"/>
          <w:szCs w:val="21"/>
          <w:highlight w:val="none"/>
          <w:u w:val="single"/>
        </w:rPr>
        <w:t>提供全套施工图或施工说明2套，如承包人需增加图纸份数，由承包人向设计单位购买或自行复制，费用由承包人承担</w:t>
      </w:r>
      <w:r>
        <w:rPr>
          <w:rFonts w:hint="eastAsia" w:ascii="宋体" w:hAnsi="宋体" w:eastAsia="宋体" w:cs="宋体"/>
          <w:color w:val="auto"/>
          <w:sz w:val="21"/>
          <w:szCs w:val="21"/>
          <w:highlight w:val="none"/>
        </w:rPr>
        <w:t>；</w:t>
      </w:r>
    </w:p>
    <w:p w14:paraId="291AE378">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发包人向承包人提供图纸的内容：</w:t>
      </w:r>
      <w:r>
        <w:rPr>
          <w:rFonts w:hint="eastAsia" w:ascii="宋体" w:hAnsi="宋体" w:eastAsia="宋体" w:cs="宋体"/>
          <w:color w:val="auto"/>
          <w:sz w:val="21"/>
          <w:szCs w:val="21"/>
          <w:highlight w:val="none"/>
          <w:u w:val="single"/>
        </w:rPr>
        <w:t xml:space="preserve"> 全套施工图纸 </w:t>
      </w:r>
      <w:r>
        <w:rPr>
          <w:rFonts w:hint="eastAsia" w:ascii="宋体" w:hAnsi="宋体" w:eastAsia="宋体" w:cs="宋体"/>
          <w:color w:val="auto"/>
          <w:sz w:val="21"/>
          <w:szCs w:val="21"/>
          <w:highlight w:val="none"/>
        </w:rPr>
        <w:t>。</w:t>
      </w:r>
    </w:p>
    <w:p w14:paraId="43A23178">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承包人文件</w:t>
      </w:r>
    </w:p>
    <w:p w14:paraId="3F70AE22">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需要由承包人提供的文件，包括：</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响应文件</w:t>
      </w:r>
      <w:r>
        <w:rPr>
          <w:rFonts w:hint="eastAsia" w:ascii="宋体" w:hAnsi="宋体" w:eastAsia="宋体" w:cs="宋体"/>
          <w:color w:val="auto"/>
          <w:sz w:val="21"/>
          <w:szCs w:val="21"/>
          <w:highlight w:val="none"/>
          <w:u w:val="single"/>
        </w:rPr>
        <w:t>（电子版及打印同时装订成册的</w:t>
      </w:r>
      <w:r>
        <w:rPr>
          <w:rFonts w:hint="eastAsia" w:ascii="宋体" w:hAnsi="宋体" w:cs="宋体"/>
          <w:color w:val="auto"/>
          <w:sz w:val="21"/>
          <w:szCs w:val="21"/>
          <w:highlight w:val="none"/>
          <w:u w:val="single"/>
          <w:lang w:eastAsia="zh-CN"/>
        </w:rPr>
        <w:t>响应文件</w:t>
      </w:r>
      <w:r>
        <w:rPr>
          <w:rFonts w:hint="eastAsia" w:ascii="宋体" w:hAnsi="宋体" w:eastAsia="宋体" w:cs="宋体"/>
          <w:color w:val="auto"/>
          <w:sz w:val="21"/>
          <w:szCs w:val="21"/>
          <w:highlight w:val="none"/>
          <w:u w:val="single"/>
        </w:rPr>
        <w:t>、投标报价软件版计价文件电子版</w:t>
      </w:r>
      <w:r>
        <w:rPr>
          <w:rFonts w:hint="eastAsia" w:ascii="宋体" w:hAnsi="宋体" w:eastAsia="宋体" w:cs="宋体"/>
          <w:color w:val="auto"/>
          <w:sz w:val="21"/>
          <w:szCs w:val="21"/>
          <w:highlight w:val="none"/>
        </w:rPr>
        <w:t>；</w:t>
      </w:r>
    </w:p>
    <w:p w14:paraId="1D00A135">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承包人提供的文件的期限为：</w:t>
      </w:r>
      <w:r>
        <w:rPr>
          <w:rFonts w:hint="eastAsia" w:ascii="宋体" w:hAnsi="宋体" w:eastAsia="宋体" w:cs="宋体"/>
          <w:color w:val="auto"/>
          <w:sz w:val="21"/>
          <w:szCs w:val="21"/>
          <w:highlight w:val="none"/>
          <w:u w:val="single"/>
        </w:rPr>
        <w:t xml:space="preserve">  签订合同 2 天内  </w:t>
      </w:r>
      <w:r>
        <w:rPr>
          <w:rFonts w:hint="eastAsia" w:ascii="宋体" w:hAnsi="宋体" w:eastAsia="宋体" w:cs="宋体"/>
          <w:color w:val="auto"/>
          <w:sz w:val="21"/>
          <w:szCs w:val="21"/>
          <w:highlight w:val="none"/>
        </w:rPr>
        <w:t>；</w:t>
      </w:r>
    </w:p>
    <w:p w14:paraId="4B8A9E73">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承包人提供的文件的数量为：</w:t>
      </w:r>
      <w:r>
        <w:rPr>
          <w:rFonts w:hint="eastAsia" w:ascii="宋体" w:hAnsi="宋体" w:eastAsia="宋体" w:cs="宋体"/>
          <w:color w:val="auto"/>
          <w:sz w:val="21"/>
          <w:szCs w:val="21"/>
          <w:highlight w:val="none"/>
          <w:u w:val="single"/>
        </w:rPr>
        <w:t xml:space="preserve">  一套电子版</w:t>
      </w:r>
      <w:r>
        <w:rPr>
          <w:rFonts w:hint="eastAsia" w:ascii="宋体" w:hAnsi="宋体" w:cs="宋体"/>
          <w:color w:val="auto"/>
          <w:sz w:val="21"/>
          <w:szCs w:val="21"/>
          <w:highlight w:val="none"/>
          <w:u w:val="single"/>
          <w:lang w:eastAsia="zh-CN"/>
        </w:rPr>
        <w:t>响应文件</w:t>
      </w:r>
      <w:r>
        <w:rPr>
          <w:rFonts w:hint="eastAsia" w:ascii="宋体" w:hAnsi="宋体" w:eastAsia="宋体" w:cs="宋体"/>
          <w:color w:val="auto"/>
          <w:sz w:val="21"/>
          <w:szCs w:val="21"/>
          <w:highlight w:val="none"/>
          <w:u w:val="single"/>
        </w:rPr>
        <w:t>、一套软件版计价文件、</w:t>
      </w:r>
      <w:r>
        <w:rPr>
          <w:rFonts w:hint="eastAsia" w:ascii="宋体" w:hAnsi="宋体" w:cs="宋体"/>
          <w:color w:val="auto"/>
          <w:sz w:val="21"/>
          <w:szCs w:val="21"/>
          <w:highlight w:val="none"/>
          <w:u w:val="single"/>
          <w:lang w:eastAsia="zh-CN"/>
        </w:rPr>
        <w:t>响应文件</w:t>
      </w:r>
      <w:r>
        <w:rPr>
          <w:rFonts w:hint="eastAsia" w:ascii="宋体" w:hAnsi="宋体" w:eastAsia="宋体" w:cs="宋体"/>
          <w:color w:val="auto"/>
          <w:sz w:val="21"/>
          <w:szCs w:val="21"/>
          <w:highlight w:val="none"/>
          <w:u w:val="single"/>
        </w:rPr>
        <w:t>装订成册二套</w:t>
      </w:r>
      <w:r>
        <w:rPr>
          <w:rFonts w:hint="eastAsia" w:ascii="宋体" w:hAnsi="宋体" w:eastAsia="宋体" w:cs="宋体"/>
          <w:color w:val="auto"/>
          <w:sz w:val="21"/>
          <w:szCs w:val="21"/>
          <w:highlight w:val="none"/>
        </w:rPr>
        <w:t>；</w:t>
      </w:r>
    </w:p>
    <w:p w14:paraId="74238A06">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承包人提供的文件的形式为：</w:t>
      </w:r>
      <w:r>
        <w:rPr>
          <w:rFonts w:hint="eastAsia" w:ascii="宋体" w:hAnsi="宋体" w:eastAsia="宋体" w:cs="宋体"/>
          <w:color w:val="auto"/>
          <w:sz w:val="21"/>
          <w:szCs w:val="21"/>
          <w:highlight w:val="none"/>
          <w:u w:val="single"/>
        </w:rPr>
        <w:t xml:space="preserve">书面形式 </w:t>
      </w:r>
      <w:r>
        <w:rPr>
          <w:rFonts w:hint="eastAsia" w:ascii="宋体" w:hAnsi="宋体" w:eastAsia="宋体" w:cs="宋体"/>
          <w:color w:val="auto"/>
          <w:sz w:val="21"/>
          <w:szCs w:val="21"/>
          <w:highlight w:val="none"/>
        </w:rPr>
        <w:t>；</w:t>
      </w:r>
    </w:p>
    <w:p w14:paraId="753087F2">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发包人审批承包人文件的期限：</w:t>
      </w:r>
      <w:r>
        <w:rPr>
          <w:rFonts w:hint="eastAsia" w:ascii="宋体" w:hAnsi="宋体" w:eastAsia="宋体" w:cs="宋体"/>
          <w:color w:val="auto"/>
          <w:sz w:val="21"/>
          <w:szCs w:val="21"/>
          <w:highlight w:val="none"/>
          <w:u w:val="single"/>
        </w:rPr>
        <w:t xml:space="preserve">签订合同 2 天内  </w:t>
      </w:r>
      <w:r>
        <w:rPr>
          <w:rFonts w:hint="eastAsia" w:ascii="宋体" w:hAnsi="宋体" w:eastAsia="宋体" w:cs="宋体"/>
          <w:color w:val="auto"/>
          <w:sz w:val="21"/>
          <w:szCs w:val="21"/>
          <w:highlight w:val="none"/>
        </w:rPr>
        <w:t>。</w:t>
      </w:r>
    </w:p>
    <w:p w14:paraId="0707C185">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现场图纸准备</w:t>
      </w:r>
    </w:p>
    <w:p w14:paraId="355FCC90">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关于现场图纸准备的约定：</w:t>
      </w:r>
      <w:r>
        <w:rPr>
          <w:rFonts w:hint="eastAsia" w:ascii="宋体" w:hAnsi="宋体" w:eastAsia="宋体" w:cs="宋体"/>
          <w:color w:val="auto"/>
          <w:sz w:val="21"/>
          <w:szCs w:val="21"/>
          <w:highlight w:val="none"/>
          <w:u w:val="single"/>
        </w:rPr>
        <w:t>监理人、承包人在施工场地各保存一套完整的图纸和承包人文件</w:t>
      </w:r>
      <w:r>
        <w:rPr>
          <w:rFonts w:hint="eastAsia" w:ascii="宋体" w:hAnsi="宋体" w:eastAsia="宋体" w:cs="宋体"/>
          <w:color w:val="auto"/>
          <w:sz w:val="21"/>
          <w:szCs w:val="21"/>
          <w:highlight w:val="none"/>
        </w:rPr>
        <w:t>。</w:t>
      </w:r>
    </w:p>
    <w:p w14:paraId="66E36C91">
      <w:pPr>
        <w:pageBreakBefore w:val="0"/>
        <w:widowControl w:val="0"/>
        <w:kinsoku/>
        <w:wordWrap/>
        <w:overflowPunct/>
        <w:topLinePunct w:val="0"/>
        <w:bidi w:val="0"/>
        <w:spacing w:line="380" w:lineRule="exact"/>
        <w:ind w:left="0" w:leftChars="0" w:firstLine="420" w:firstLineChars="200"/>
        <w:textAlignment w:val="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 联络</w:t>
      </w:r>
    </w:p>
    <w:p w14:paraId="1DE215B1">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1.7.1发包人和承包人应当在</w:t>
      </w:r>
      <w:r>
        <w:rPr>
          <w:rFonts w:hint="eastAsia" w:ascii="宋体" w:hAnsi="宋体" w:cs="宋体"/>
          <w:color w:val="auto"/>
          <w:kern w:val="0"/>
          <w:sz w:val="21"/>
          <w:szCs w:val="21"/>
          <w:highlight w:val="none"/>
          <w:u w:val="single"/>
          <w:lang w:val="en-US" w:eastAsia="zh-CN"/>
        </w:rPr>
        <w:t>3</w:t>
      </w:r>
      <w:r>
        <w:rPr>
          <w:rFonts w:hint="eastAsia" w:ascii="宋体" w:hAnsi="宋体" w:eastAsia="宋体" w:cs="宋体"/>
          <w:color w:val="auto"/>
          <w:kern w:val="0"/>
          <w:sz w:val="21"/>
          <w:szCs w:val="21"/>
          <w:highlight w:val="none"/>
        </w:rPr>
        <w:t>天内将与合同有关的通知、批准、证明、证书、指示、指令、要求、请求、同意、意见、确定和决定等书面函件送达对方当事人。</w:t>
      </w:r>
    </w:p>
    <w:p w14:paraId="51BDCBA1">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 发包人接收文件的地点：</w:t>
      </w:r>
      <w:r>
        <w:rPr>
          <w:rFonts w:hint="eastAsia" w:ascii="宋体" w:hAnsi="宋体" w:eastAsia="宋体" w:cs="宋体"/>
          <w:color w:val="auto"/>
          <w:sz w:val="21"/>
          <w:szCs w:val="21"/>
          <w:highlight w:val="none"/>
          <w:u w:val="single"/>
        </w:rPr>
        <w:t>项目所在地发包人项目部</w:t>
      </w:r>
      <w:r>
        <w:rPr>
          <w:rFonts w:hint="eastAsia" w:ascii="宋体" w:hAnsi="宋体" w:eastAsia="宋体" w:cs="宋体"/>
          <w:color w:val="auto"/>
          <w:kern w:val="0"/>
          <w:sz w:val="21"/>
          <w:szCs w:val="21"/>
          <w:highlight w:val="none"/>
        </w:rPr>
        <w:t>；</w:t>
      </w:r>
    </w:p>
    <w:p w14:paraId="529176D4">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发包人指定的接收人为：</w:t>
      </w:r>
      <w:r>
        <w:rPr>
          <w:rFonts w:hint="eastAsia" w:ascii="宋体" w:hAnsi="宋体" w:eastAsia="宋体" w:cs="宋体"/>
          <w:color w:val="auto"/>
          <w:sz w:val="21"/>
          <w:szCs w:val="21"/>
          <w:highlight w:val="none"/>
          <w:u w:val="single"/>
        </w:rPr>
        <w:t>发包人代表</w:t>
      </w:r>
      <w:r>
        <w:rPr>
          <w:rFonts w:hint="eastAsia" w:ascii="宋体" w:hAnsi="宋体" w:eastAsia="宋体" w:cs="宋体"/>
          <w:color w:val="auto"/>
          <w:kern w:val="0"/>
          <w:sz w:val="21"/>
          <w:szCs w:val="21"/>
          <w:highlight w:val="none"/>
        </w:rPr>
        <w:t>。</w:t>
      </w:r>
    </w:p>
    <w:p w14:paraId="0CCAC1F9">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承包人接收文件的地点：</w:t>
      </w:r>
      <w:r>
        <w:rPr>
          <w:rFonts w:hint="eastAsia" w:ascii="宋体" w:hAnsi="宋体" w:eastAsia="宋体" w:cs="宋体"/>
          <w:color w:val="auto"/>
          <w:sz w:val="21"/>
          <w:szCs w:val="21"/>
          <w:highlight w:val="none"/>
          <w:u w:val="single"/>
        </w:rPr>
        <w:t>项目所在地承包人项目部</w:t>
      </w:r>
      <w:r>
        <w:rPr>
          <w:rFonts w:hint="eastAsia" w:ascii="宋体" w:hAnsi="宋体" w:eastAsia="宋体" w:cs="宋体"/>
          <w:color w:val="auto"/>
          <w:kern w:val="0"/>
          <w:sz w:val="21"/>
          <w:szCs w:val="21"/>
          <w:highlight w:val="none"/>
        </w:rPr>
        <w:t>；</w:t>
      </w:r>
    </w:p>
    <w:p w14:paraId="6E02AC7C">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承包人指定的接收人为：</w:t>
      </w:r>
      <w:r>
        <w:rPr>
          <w:rFonts w:hint="eastAsia" w:ascii="宋体" w:hAnsi="宋体" w:eastAsia="宋体" w:cs="宋体"/>
          <w:color w:val="auto"/>
          <w:sz w:val="21"/>
          <w:szCs w:val="21"/>
          <w:highlight w:val="none"/>
          <w:u w:val="single"/>
        </w:rPr>
        <w:t>承包人项目经理</w:t>
      </w:r>
      <w:r>
        <w:rPr>
          <w:rFonts w:hint="eastAsia" w:ascii="宋体" w:hAnsi="宋体" w:eastAsia="宋体" w:cs="宋体"/>
          <w:color w:val="auto"/>
          <w:kern w:val="0"/>
          <w:sz w:val="21"/>
          <w:szCs w:val="21"/>
          <w:highlight w:val="none"/>
        </w:rPr>
        <w:t>。</w:t>
      </w:r>
    </w:p>
    <w:p w14:paraId="3D3466B0">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监理人接收文件的地点：</w:t>
      </w:r>
      <w:r>
        <w:rPr>
          <w:rFonts w:hint="eastAsia" w:ascii="宋体" w:hAnsi="宋体" w:eastAsia="宋体" w:cs="宋体"/>
          <w:color w:val="auto"/>
          <w:sz w:val="21"/>
          <w:szCs w:val="21"/>
          <w:highlight w:val="none"/>
          <w:u w:val="single"/>
        </w:rPr>
        <w:t>项目所在地监理人办公室</w:t>
      </w:r>
      <w:r>
        <w:rPr>
          <w:rFonts w:hint="eastAsia" w:ascii="宋体" w:hAnsi="宋体" w:eastAsia="宋体" w:cs="宋体"/>
          <w:color w:val="auto"/>
          <w:kern w:val="0"/>
          <w:sz w:val="21"/>
          <w:szCs w:val="21"/>
          <w:highlight w:val="none"/>
        </w:rPr>
        <w:t>；</w:t>
      </w:r>
    </w:p>
    <w:p w14:paraId="4031BEF2">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监理人指定的接收人为：</w:t>
      </w:r>
      <w:r>
        <w:rPr>
          <w:rFonts w:hint="eastAsia" w:ascii="宋体" w:hAnsi="宋体" w:eastAsia="宋体" w:cs="宋体"/>
          <w:color w:val="auto"/>
          <w:sz w:val="21"/>
          <w:szCs w:val="21"/>
          <w:highlight w:val="none"/>
          <w:u w:val="single"/>
        </w:rPr>
        <w:t>监理工程师</w:t>
      </w:r>
      <w:r>
        <w:rPr>
          <w:rFonts w:hint="eastAsia" w:ascii="宋体" w:hAnsi="宋体" w:eastAsia="宋体" w:cs="宋体"/>
          <w:color w:val="auto"/>
          <w:kern w:val="0"/>
          <w:sz w:val="21"/>
          <w:szCs w:val="21"/>
          <w:highlight w:val="none"/>
        </w:rPr>
        <w:t>。</w:t>
      </w:r>
    </w:p>
    <w:p w14:paraId="14A13BA4">
      <w:pPr>
        <w:pageBreakBefore w:val="0"/>
        <w:widowControl w:val="0"/>
        <w:kinsoku/>
        <w:wordWrap/>
        <w:overflowPunct/>
        <w:topLinePunct w:val="0"/>
        <w:bidi w:val="0"/>
        <w:spacing w:line="380" w:lineRule="exact"/>
        <w:ind w:left="0" w:leftChars="0" w:firstLine="420" w:firstLineChars="200"/>
        <w:textAlignment w:val="auto"/>
        <w:outlineLvl w:val="0"/>
        <w:rPr>
          <w:rFonts w:hint="eastAsia" w:ascii="宋体" w:hAnsi="宋体" w:eastAsia="宋体" w:cs="宋体"/>
          <w:color w:val="auto"/>
          <w:sz w:val="21"/>
          <w:szCs w:val="21"/>
          <w:highlight w:val="none"/>
        </w:rPr>
      </w:pPr>
      <w:bookmarkStart w:id="60" w:name="_Toc14538"/>
      <w:bookmarkStart w:id="61" w:name="_Toc1749"/>
      <w:bookmarkStart w:id="62" w:name="_Toc318581157"/>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交通运输</w:t>
      </w:r>
      <w:bookmarkEnd w:id="60"/>
      <w:bookmarkEnd w:id="61"/>
    </w:p>
    <w:p w14:paraId="361FD607">
      <w:pPr>
        <w:pageBreakBefore w:val="0"/>
        <w:widowControl w:val="0"/>
        <w:kinsoku/>
        <w:wordWrap/>
        <w:overflowPunct/>
        <w:topLinePunct w:val="0"/>
        <w:bidi w:val="0"/>
        <w:spacing w:line="380" w:lineRule="exact"/>
        <w:ind w:left="0" w:leftChars="0" w:firstLine="420" w:firstLineChars="200"/>
        <w:textAlignment w:val="auto"/>
        <w:outlineLvl w:val="0"/>
        <w:rPr>
          <w:rFonts w:hint="eastAsia" w:ascii="宋体" w:hAnsi="宋体" w:eastAsia="宋体" w:cs="宋体"/>
          <w:color w:val="auto"/>
          <w:sz w:val="21"/>
          <w:szCs w:val="21"/>
          <w:highlight w:val="none"/>
        </w:rPr>
      </w:pPr>
      <w:bookmarkStart w:id="63" w:name="_Toc17634"/>
      <w:bookmarkStart w:id="64" w:name="_Toc11558"/>
      <w:r>
        <w:rPr>
          <w:rFonts w:hint="eastAsia" w:ascii="宋体" w:hAnsi="宋体" w:eastAsia="宋体" w:cs="宋体"/>
          <w:color w:val="auto"/>
          <w:sz w:val="21"/>
          <w:szCs w:val="21"/>
          <w:highlight w:val="none"/>
        </w:rPr>
        <w:t>1</w:t>
      </w:r>
      <w:bookmarkStart w:id="65" w:name="_Toc304295521"/>
      <w:bookmarkStart w:id="66" w:name="_Toc312677986"/>
      <w:bookmarkStart w:id="67" w:name="_Toc303539100"/>
      <w:bookmarkStart w:id="68" w:name="_Toc300934943"/>
      <w:bookmarkStart w:id="69" w:name="_Toc318581155"/>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.1 出入现场的权利</w:t>
      </w:r>
      <w:bookmarkEnd w:id="63"/>
      <w:bookmarkEnd w:id="64"/>
    </w:p>
    <w:p w14:paraId="59D9B59D">
      <w:pPr>
        <w:pageBreakBefore w:val="0"/>
        <w:widowControl w:val="0"/>
        <w:kinsoku/>
        <w:wordWrap/>
        <w:overflowPunct/>
        <w:topLinePunct w:val="0"/>
        <w:bidi w:val="0"/>
        <w:spacing w:line="380" w:lineRule="exact"/>
        <w:ind w:left="0" w:lef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关于出入现场的权利的约定：</w:t>
      </w:r>
      <w:r>
        <w:rPr>
          <w:rFonts w:hint="eastAsia" w:ascii="宋体" w:hAnsi="宋体" w:eastAsia="宋体" w:cs="宋体"/>
          <w:color w:val="auto"/>
          <w:sz w:val="21"/>
          <w:szCs w:val="21"/>
          <w:highlight w:val="none"/>
          <w:u w:val="single"/>
        </w:rPr>
        <w:t>由承包人按发包人要求负责取得出入施工现场所需的批准手续和全部权利，以及取得因施工所需修建道路以及其他基础设施的权利，相关手续费用和建设费用</w:t>
      </w:r>
      <w:r>
        <w:rPr>
          <w:rFonts w:hint="eastAsia" w:ascii="宋体" w:hAnsi="宋体" w:eastAsia="宋体" w:cs="宋体"/>
          <w:color w:val="auto"/>
          <w:sz w:val="21"/>
          <w:szCs w:val="21"/>
          <w:highlight w:val="none"/>
          <w:u w:val="single"/>
          <w:lang w:eastAsia="zh-CN"/>
        </w:rPr>
        <w:t>，由</w:t>
      </w:r>
      <w:r>
        <w:rPr>
          <w:rFonts w:hint="eastAsia" w:ascii="宋体" w:hAnsi="宋体" w:eastAsia="宋体" w:cs="宋体"/>
          <w:color w:val="auto"/>
          <w:sz w:val="21"/>
          <w:szCs w:val="21"/>
          <w:highlight w:val="none"/>
          <w:u w:val="single"/>
        </w:rPr>
        <w:t>承包</w:t>
      </w:r>
      <w:r>
        <w:rPr>
          <w:rFonts w:hint="eastAsia" w:ascii="宋体" w:hAnsi="宋体" w:cs="宋体"/>
          <w:color w:val="auto"/>
          <w:sz w:val="21"/>
          <w:szCs w:val="21"/>
          <w:highlight w:val="none"/>
          <w:u w:val="single"/>
          <w:lang w:eastAsia="zh-CN"/>
        </w:rPr>
        <w:t>人在</w:t>
      </w:r>
      <w:r>
        <w:rPr>
          <w:rFonts w:hint="eastAsia" w:ascii="宋体" w:hAnsi="宋体" w:eastAsia="宋体" w:cs="宋体"/>
          <w:color w:val="auto"/>
          <w:sz w:val="21"/>
          <w:szCs w:val="21"/>
          <w:highlight w:val="none"/>
          <w:u w:val="single"/>
        </w:rPr>
        <w:t>已投标时综合考虑，已包含在发包价内。发包人不再予以额外补偿</w:t>
      </w:r>
      <w:r>
        <w:rPr>
          <w:rFonts w:hint="eastAsia" w:ascii="宋体" w:hAnsi="宋体" w:eastAsia="宋体" w:cs="宋体"/>
          <w:color w:val="auto"/>
          <w:sz w:val="21"/>
          <w:szCs w:val="21"/>
          <w:highlight w:val="none"/>
        </w:rPr>
        <w:t>。</w:t>
      </w:r>
    </w:p>
    <w:bookmarkEnd w:id="65"/>
    <w:bookmarkEnd w:id="66"/>
    <w:bookmarkEnd w:id="67"/>
    <w:bookmarkEnd w:id="68"/>
    <w:bookmarkEnd w:id="69"/>
    <w:p w14:paraId="05BDC436">
      <w:pPr>
        <w:pageBreakBefore w:val="0"/>
        <w:widowControl w:val="0"/>
        <w:kinsoku/>
        <w:wordWrap/>
        <w:overflowPunct/>
        <w:topLinePunct w:val="0"/>
        <w:bidi w:val="0"/>
        <w:spacing w:line="380" w:lineRule="exact"/>
        <w:ind w:left="0" w:leftChars="0" w:firstLine="420" w:firstLineChars="200"/>
        <w:jc w:val="left"/>
        <w:textAlignment w:val="auto"/>
        <w:outlineLvl w:val="0"/>
        <w:rPr>
          <w:rFonts w:hint="eastAsia" w:ascii="宋体" w:hAnsi="宋体" w:eastAsia="宋体" w:cs="宋体"/>
          <w:color w:val="auto"/>
          <w:sz w:val="21"/>
          <w:szCs w:val="21"/>
          <w:highlight w:val="none"/>
        </w:rPr>
      </w:pPr>
      <w:bookmarkStart w:id="70" w:name="_Toc11813"/>
      <w:bookmarkStart w:id="71" w:name="_Toc23298"/>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场内交通</w:t>
      </w:r>
      <w:bookmarkEnd w:id="70"/>
      <w:bookmarkEnd w:id="71"/>
    </w:p>
    <w:p w14:paraId="4BE3CE43">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关于场外交通和场内交通的边界的约定：</w:t>
      </w:r>
      <w:r>
        <w:rPr>
          <w:rFonts w:hint="eastAsia" w:ascii="宋体" w:hAnsi="宋体" w:eastAsia="宋体" w:cs="宋体"/>
          <w:color w:val="auto"/>
          <w:sz w:val="21"/>
          <w:szCs w:val="21"/>
          <w:highlight w:val="none"/>
          <w:u w:val="single"/>
        </w:rPr>
        <w:t>以规划红线为界</w:t>
      </w:r>
      <w:r>
        <w:rPr>
          <w:rFonts w:hint="eastAsia" w:ascii="宋体" w:hAnsi="宋体" w:eastAsia="宋体" w:cs="宋体"/>
          <w:color w:val="auto"/>
          <w:sz w:val="21"/>
          <w:szCs w:val="21"/>
          <w:highlight w:val="none"/>
        </w:rPr>
        <w:t>。</w:t>
      </w:r>
    </w:p>
    <w:p w14:paraId="5A21EB0F">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关于发包人向承包人免费提供满足工程施工需要的场内道路和交通设施的约定：</w:t>
      </w:r>
      <w:r>
        <w:rPr>
          <w:rFonts w:hint="eastAsia" w:ascii="宋体" w:hAnsi="宋体" w:eastAsia="宋体" w:cs="宋体"/>
          <w:color w:val="auto"/>
          <w:sz w:val="21"/>
          <w:szCs w:val="21"/>
          <w:highlight w:val="none"/>
          <w:u w:val="single"/>
        </w:rPr>
        <w:t>按现状， 如施工需要的场内道路和交通设施及施工绿色围挡（含绿色围墙、张贴广告等）由承包人自行建设或维护及协调，其费用承包人已根据施工现场实际情况综合考虑，已含在签约合同价中，竣工结算时不做任何调整。因承包人原因造成场内原有道路、绿化、管网损坏的，由承包人负责</w:t>
      </w:r>
    </w:p>
    <w:p w14:paraId="485B5C81">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超大件和超重件的运输</w:t>
      </w:r>
    </w:p>
    <w:p w14:paraId="221ADC09">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运输超大件或超重件所需的道路和桥梁临时加固改造费用和其他有关费用由承担。</w:t>
      </w:r>
    </w:p>
    <w:bookmarkEnd w:id="62"/>
    <w:p w14:paraId="1086D7A0">
      <w:pPr>
        <w:pageBreakBefore w:val="0"/>
        <w:widowControl w:val="0"/>
        <w:kinsoku/>
        <w:wordWrap/>
        <w:overflowPunct/>
        <w:topLinePunct w:val="0"/>
        <w:bidi w:val="0"/>
        <w:spacing w:line="380" w:lineRule="exact"/>
        <w:ind w:left="0" w:leftChars="0" w:firstLine="420" w:firstLineChars="200"/>
        <w:textAlignment w:val="auto"/>
        <w:outlineLvl w:val="0"/>
        <w:rPr>
          <w:rFonts w:hint="eastAsia" w:ascii="宋体" w:hAnsi="宋体" w:eastAsia="宋体" w:cs="宋体"/>
          <w:color w:val="auto"/>
          <w:sz w:val="21"/>
          <w:szCs w:val="21"/>
          <w:highlight w:val="none"/>
        </w:rPr>
      </w:pPr>
      <w:bookmarkStart w:id="72" w:name="_Toc19332"/>
      <w:bookmarkStart w:id="73" w:name="_Toc29204"/>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 xml:space="preserve"> 知识产权</w:t>
      </w:r>
      <w:bookmarkEnd w:id="72"/>
      <w:bookmarkEnd w:id="73"/>
    </w:p>
    <w:p w14:paraId="722C875E">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发包人   </w:t>
      </w:r>
      <w:r>
        <w:rPr>
          <w:rFonts w:hint="eastAsia" w:ascii="宋体" w:hAnsi="宋体" w:eastAsia="宋体" w:cs="宋体"/>
          <w:color w:val="auto"/>
          <w:sz w:val="21"/>
          <w:szCs w:val="21"/>
          <w:highlight w:val="none"/>
        </w:rPr>
        <w:t>。</w:t>
      </w:r>
    </w:p>
    <w:p w14:paraId="0FD96A9C">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关于发包人提供的上述文件的使用限制的要求：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未</w:t>
      </w:r>
      <w:r>
        <w:rPr>
          <w:rFonts w:hint="eastAsia" w:ascii="宋体" w:hAnsi="宋体" w:eastAsia="宋体" w:cs="宋体"/>
          <w:color w:val="auto"/>
          <w:sz w:val="21"/>
          <w:szCs w:val="21"/>
          <w:highlight w:val="none"/>
          <w:u w:val="single"/>
        </w:rPr>
        <w:t xml:space="preserve">经发包人同意不得复制，不得向承包人以外的人员泄漏有关内容或提供给第三方，否则所造成的损失由承包人负责赔偿，工程竣工后，除承包人存档需要的图纸外，原图全部收回  </w:t>
      </w:r>
      <w:r>
        <w:rPr>
          <w:rFonts w:hint="eastAsia" w:ascii="宋体" w:hAnsi="宋体" w:eastAsia="宋体" w:cs="宋体"/>
          <w:color w:val="auto"/>
          <w:sz w:val="21"/>
          <w:szCs w:val="21"/>
          <w:highlight w:val="none"/>
        </w:rPr>
        <w:t>。</w:t>
      </w:r>
    </w:p>
    <w:p w14:paraId="12018C08">
      <w:pPr>
        <w:pageBreakBefore w:val="0"/>
        <w:widowControl w:val="0"/>
        <w:kinsoku/>
        <w:wordWrap/>
        <w:overflowPunct/>
        <w:topLinePunct w:val="0"/>
        <w:bidi w:val="0"/>
        <w:spacing w:line="380" w:lineRule="exact"/>
        <w:ind w:left="0" w:leftChars="0" w:firstLine="420" w:firstLineChars="200"/>
        <w:textAlignment w:val="auto"/>
        <w:outlineLvl w:val="0"/>
        <w:rPr>
          <w:rFonts w:hint="eastAsia" w:ascii="宋体" w:hAnsi="宋体" w:eastAsia="宋体" w:cs="宋体"/>
          <w:color w:val="auto"/>
          <w:sz w:val="21"/>
          <w:szCs w:val="21"/>
          <w:highlight w:val="none"/>
        </w:rPr>
      </w:pPr>
      <w:bookmarkStart w:id="74" w:name="_Toc18045"/>
      <w:bookmarkStart w:id="75" w:name="_Toc24001"/>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.2 关于承包人为实施工程所编制文件的著作权的归属：</w:t>
      </w:r>
      <w:r>
        <w:rPr>
          <w:rFonts w:hint="eastAsia" w:ascii="宋体" w:hAnsi="宋体" w:eastAsia="宋体" w:cs="宋体"/>
          <w:color w:val="auto"/>
          <w:sz w:val="21"/>
          <w:szCs w:val="21"/>
          <w:highlight w:val="none"/>
          <w:u w:val="single"/>
        </w:rPr>
        <w:t xml:space="preserve"> 发包人</w:t>
      </w:r>
      <w:r>
        <w:rPr>
          <w:rFonts w:hint="eastAsia" w:ascii="宋体" w:hAnsi="宋体" w:eastAsia="宋体" w:cs="宋体"/>
          <w:color w:val="auto"/>
          <w:sz w:val="21"/>
          <w:szCs w:val="21"/>
          <w:highlight w:val="none"/>
        </w:rPr>
        <w:t>。</w:t>
      </w:r>
      <w:bookmarkEnd w:id="74"/>
      <w:bookmarkEnd w:id="75"/>
    </w:p>
    <w:p w14:paraId="3A6A8F60">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关于承包人提供的上述文件的使用限制的要求：</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w:t>
      </w:r>
    </w:p>
    <w:p w14:paraId="4615E2B4">
      <w:pPr>
        <w:pageBreakBefore w:val="0"/>
        <w:widowControl w:val="0"/>
        <w:kinsoku/>
        <w:wordWrap/>
        <w:overflowPunct/>
        <w:topLinePunct w:val="0"/>
        <w:bidi w:val="0"/>
        <w:spacing w:line="380" w:lineRule="exact"/>
        <w:ind w:left="0" w:leftChars="0" w:firstLine="420" w:firstLineChars="200"/>
        <w:textAlignment w:val="auto"/>
        <w:outlineLvl w:val="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按通用合同条款执行 </w:t>
      </w:r>
    </w:p>
    <w:p w14:paraId="6E706302">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工程量清单错误的修正</w:t>
      </w:r>
    </w:p>
    <w:p w14:paraId="2A17651D">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出现工程量清单错误时，是否调整合同价格：</w:t>
      </w:r>
      <w:r>
        <w:rPr>
          <w:rFonts w:hint="eastAsia" w:ascii="宋体" w:hAnsi="宋体" w:eastAsia="宋体" w:cs="宋体"/>
          <w:color w:val="auto"/>
          <w:sz w:val="21"/>
          <w:szCs w:val="21"/>
          <w:highlight w:val="none"/>
          <w:u w:val="single"/>
        </w:rPr>
        <w:t xml:space="preserve">不调整综合单价 </w:t>
      </w:r>
      <w:r>
        <w:rPr>
          <w:rFonts w:hint="eastAsia" w:ascii="宋体" w:hAnsi="宋体" w:eastAsia="宋体" w:cs="宋体"/>
          <w:color w:val="auto"/>
          <w:kern w:val="0"/>
          <w:sz w:val="21"/>
          <w:szCs w:val="21"/>
          <w:highlight w:val="none"/>
        </w:rPr>
        <w:t>。</w:t>
      </w:r>
    </w:p>
    <w:p w14:paraId="572CEA46">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允许调整合同价格的工程量偏差范围：</w:t>
      </w:r>
      <w:r>
        <w:rPr>
          <w:rFonts w:hint="eastAsia" w:ascii="宋体" w:hAnsi="宋体" w:eastAsia="宋体" w:cs="宋体"/>
          <w:color w:val="auto"/>
          <w:sz w:val="21"/>
          <w:szCs w:val="21"/>
          <w:highlight w:val="none"/>
          <w:u w:val="single"/>
        </w:rPr>
        <w:t xml:space="preserve"> 工程量按实计算，</w:t>
      </w:r>
      <w:r>
        <w:rPr>
          <w:rFonts w:hint="eastAsia" w:ascii="宋体" w:hAnsi="宋体" w:eastAsia="宋体" w:cs="宋体"/>
          <w:color w:val="auto"/>
          <w:sz w:val="21"/>
          <w:szCs w:val="21"/>
          <w:highlight w:val="none"/>
          <w:u w:val="single"/>
          <w:lang w:eastAsia="zh-CN"/>
        </w:rPr>
        <w:t>合同</w:t>
      </w:r>
      <w:r>
        <w:rPr>
          <w:rFonts w:hint="eastAsia" w:ascii="宋体" w:hAnsi="宋体" w:eastAsia="宋体" w:cs="宋体"/>
          <w:color w:val="auto"/>
          <w:sz w:val="21"/>
          <w:szCs w:val="21"/>
          <w:highlight w:val="none"/>
          <w:u w:val="single"/>
        </w:rPr>
        <w:t xml:space="preserve">投标报价（人工、材料、机械、管理费、利润以及各项措施项目费用 </w:t>
      </w:r>
      <w:r>
        <w:rPr>
          <w:rFonts w:hint="eastAsia" w:ascii="宋体" w:hAnsi="宋体" w:eastAsia="宋体" w:cs="宋体"/>
          <w:color w:val="auto"/>
          <w:kern w:val="0"/>
          <w:sz w:val="21"/>
          <w:szCs w:val="21"/>
          <w:highlight w:val="none"/>
        </w:rPr>
        <w:t>。</w:t>
      </w:r>
    </w:p>
    <w:p w14:paraId="2DF25D13">
      <w:pPr>
        <w:pStyle w:val="2"/>
        <w:pageBreakBefore w:val="0"/>
        <w:widowControl w:val="0"/>
        <w:kinsoku/>
        <w:wordWrap/>
        <w:overflowPunct/>
        <w:topLinePunct w:val="0"/>
        <w:bidi w:val="0"/>
        <w:spacing w:line="380" w:lineRule="exact"/>
        <w:ind w:left="0" w:leftChars="0" w:firstLine="422" w:firstLineChars="200"/>
        <w:textAlignment w:val="auto"/>
        <w:rPr>
          <w:rFonts w:hint="eastAsia" w:ascii="宋体" w:hAnsi="宋体" w:eastAsia="宋体" w:cs="宋体"/>
          <w:color w:val="auto"/>
          <w:sz w:val="21"/>
          <w:szCs w:val="21"/>
          <w:highlight w:val="none"/>
          <w:lang w:eastAsia="zh-CN"/>
        </w:rPr>
      </w:pPr>
      <w:bookmarkStart w:id="76" w:name="_Toc351203634"/>
      <w:r>
        <w:rPr>
          <w:rFonts w:hint="eastAsia" w:ascii="宋体" w:hAnsi="宋体" w:eastAsia="宋体" w:cs="宋体"/>
          <w:color w:val="auto"/>
          <w:sz w:val="21"/>
          <w:szCs w:val="21"/>
          <w:highlight w:val="none"/>
          <w:lang w:eastAsia="zh-CN"/>
        </w:rPr>
        <w:t>2</w:t>
      </w:r>
      <w:bookmarkStart w:id="77" w:name="_Toc296347156"/>
      <w:bookmarkStart w:id="78" w:name="_Toc296503157"/>
      <w:bookmarkStart w:id="79" w:name="_Toc296891197"/>
      <w:bookmarkStart w:id="80" w:name="_Toc296346658"/>
      <w:bookmarkStart w:id="81" w:name="_Toc297048343"/>
      <w:bookmarkStart w:id="82" w:name="_Toc296890985"/>
      <w:bookmarkStart w:id="83" w:name="_Toc296944496"/>
      <w:bookmarkStart w:id="84" w:name="_Toc292559362"/>
      <w:bookmarkStart w:id="85" w:name="_Toc292559867"/>
      <w:bookmarkStart w:id="86" w:name="_Toc297120457"/>
      <w:r>
        <w:rPr>
          <w:rFonts w:hint="eastAsia" w:ascii="宋体" w:hAnsi="宋体" w:eastAsia="宋体" w:cs="宋体"/>
          <w:color w:val="auto"/>
          <w:sz w:val="21"/>
          <w:szCs w:val="21"/>
          <w:highlight w:val="none"/>
          <w:lang w:eastAsia="zh-CN"/>
        </w:rPr>
        <w:t>. 发包人</w:t>
      </w:r>
      <w:bookmarkEnd w:id="76"/>
    </w:p>
    <w:bookmarkEnd w:id="77"/>
    <w:bookmarkEnd w:id="78"/>
    <w:bookmarkEnd w:id="79"/>
    <w:bookmarkEnd w:id="80"/>
    <w:bookmarkEnd w:id="81"/>
    <w:bookmarkEnd w:id="82"/>
    <w:bookmarkEnd w:id="83"/>
    <w:bookmarkEnd w:id="84"/>
    <w:bookmarkEnd w:id="85"/>
    <w:bookmarkEnd w:id="86"/>
    <w:p w14:paraId="614A3FD0">
      <w:pPr>
        <w:pageBreakBefore w:val="0"/>
        <w:widowControl w:val="0"/>
        <w:kinsoku/>
        <w:wordWrap/>
        <w:overflowPunct/>
        <w:topLinePunct w:val="0"/>
        <w:bidi w:val="0"/>
        <w:spacing w:line="380" w:lineRule="exact"/>
        <w:ind w:left="0" w:leftChars="0" w:firstLine="420" w:firstLineChars="200"/>
        <w:textAlignment w:val="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 xml:space="preserve"> 发包人代表</w:t>
      </w:r>
    </w:p>
    <w:p w14:paraId="3F336F6E">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w:t>
      </w:r>
    </w:p>
    <w:p w14:paraId="6E893CD3">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lang w:eastAsia="zh-CN"/>
        </w:rPr>
        <w:t>：</w:t>
      </w:r>
    </w:p>
    <w:p w14:paraId="73729447">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lang w:eastAsia="zh-CN"/>
        </w:rPr>
        <w:t>：</w:t>
      </w:r>
    </w:p>
    <w:p w14:paraId="64372C97">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sz w:val="21"/>
          <w:szCs w:val="21"/>
          <w:highlight w:val="none"/>
          <w:lang w:eastAsia="zh-CN"/>
        </w:rPr>
        <w:t>：</w:t>
      </w:r>
    </w:p>
    <w:p w14:paraId="18E89541">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lang w:eastAsia="zh-CN"/>
        </w:rPr>
        <w:t>：</w:t>
      </w:r>
    </w:p>
    <w:p w14:paraId="7AA78605">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lang w:eastAsia="zh-CN"/>
        </w:rPr>
        <w:t>：</w:t>
      </w:r>
    </w:p>
    <w:p w14:paraId="2DEF95A4">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lang w:eastAsia="zh-CN"/>
        </w:rPr>
        <w:t>：</w:t>
      </w:r>
    </w:p>
    <w:p w14:paraId="6BAD8128">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发包人对发包人代表的授权范围如下：</w:t>
      </w:r>
      <w:r>
        <w:rPr>
          <w:rFonts w:hint="eastAsia" w:ascii="宋体" w:hAnsi="宋体" w:eastAsia="宋体" w:cs="宋体"/>
          <w:color w:val="auto"/>
          <w:sz w:val="21"/>
          <w:szCs w:val="21"/>
          <w:highlight w:val="none"/>
          <w:u w:val="single"/>
        </w:rPr>
        <w:t>（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r>
        <w:rPr>
          <w:rFonts w:hint="eastAsia" w:ascii="宋体" w:hAnsi="宋体" w:eastAsia="宋体" w:cs="宋体"/>
          <w:color w:val="auto"/>
          <w:sz w:val="21"/>
          <w:szCs w:val="21"/>
          <w:highlight w:val="none"/>
        </w:rPr>
        <w:t>；</w:t>
      </w:r>
    </w:p>
    <w:p w14:paraId="6ECB2203">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对监理单位和承包人的工作进行监督、协调及外部组织协调</w:t>
      </w:r>
      <w:r>
        <w:rPr>
          <w:rFonts w:hint="eastAsia" w:ascii="宋体" w:hAnsi="宋体" w:eastAsia="宋体" w:cs="宋体"/>
          <w:color w:val="auto"/>
          <w:sz w:val="21"/>
          <w:szCs w:val="21"/>
          <w:highlight w:val="none"/>
        </w:rPr>
        <w:t>；</w:t>
      </w:r>
    </w:p>
    <w:p w14:paraId="6F027E4E">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对不称职的监理、施工人员的更换权</w:t>
      </w:r>
      <w:r>
        <w:rPr>
          <w:rFonts w:hint="eastAsia" w:ascii="宋体" w:hAnsi="宋体" w:eastAsia="宋体" w:cs="宋体"/>
          <w:color w:val="auto"/>
          <w:sz w:val="21"/>
          <w:szCs w:val="21"/>
          <w:highlight w:val="none"/>
        </w:rPr>
        <w:t>；</w:t>
      </w:r>
    </w:p>
    <w:p w14:paraId="524CD6B2">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u w:val="single"/>
        </w:rPr>
        <w:t>委派工程师代表或工程顾问进行工程管理，但其所行使的权利应得到发包人代表的确认，承包人凭发包人代表书面授权范围接受工程师代表或工程顾问的管理</w:t>
      </w:r>
      <w:r>
        <w:rPr>
          <w:rFonts w:hint="eastAsia" w:ascii="宋体" w:hAnsi="宋体" w:eastAsia="宋体" w:cs="宋体"/>
          <w:color w:val="auto"/>
          <w:sz w:val="21"/>
          <w:szCs w:val="21"/>
          <w:highlight w:val="none"/>
        </w:rPr>
        <w:t>。</w:t>
      </w:r>
    </w:p>
    <w:p w14:paraId="186DD675">
      <w:pPr>
        <w:pageBreakBefore w:val="0"/>
        <w:widowControl w:val="0"/>
        <w:kinsoku/>
        <w:wordWrap/>
        <w:overflowPunct/>
        <w:topLinePunct w:val="0"/>
        <w:bidi w:val="0"/>
        <w:spacing w:line="380" w:lineRule="exact"/>
        <w:ind w:left="0" w:leftChars="0" w:firstLine="420" w:firstLineChars="200"/>
        <w:textAlignment w:val="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施工现场、施工条件和基础资料的提供</w:t>
      </w:r>
    </w:p>
    <w:p w14:paraId="44800FDC">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.1 提供施工现场</w:t>
      </w:r>
    </w:p>
    <w:p w14:paraId="7CEF39F0">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关于发包人移交施工现场的期限要求：</w:t>
      </w:r>
      <w:r>
        <w:rPr>
          <w:rFonts w:hint="eastAsia" w:ascii="宋体" w:hAnsi="宋体" w:eastAsia="宋体" w:cs="宋体"/>
          <w:color w:val="auto"/>
          <w:sz w:val="21"/>
          <w:szCs w:val="21"/>
          <w:highlight w:val="none"/>
          <w:u w:val="none"/>
        </w:rPr>
        <w:t xml:space="preserve">开工日期前15天 </w:t>
      </w:r>
      <w:r>
        <w:rPr>
          <w:rFonts w:hint="eastAsia" w:ascii="宋体" w:hAnsi="宋体" w:eastAsia="宋体" w:cs="宋体"/>
          <w:color w:val="auto"/>
          <w:sz w:val="21"/>
          <w:szCs w:val="21"/>
          <w:highlight w:val="none"/>
        </w:rPr>
        <w:t>。</w:t>
      </w:r>
    </w:p>
    <w:p w14:paraId="401B6E2B">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.2 提供施工条件</w:t>
      </w:r>
    </w:p>
    <w:p w14:paraId="4A7D117A">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关于发包人应负责提供施工所需要的条件，包括：</w:t>
      </w:r>
      <w:r>
        <w:rPr>
          <w:rFonts w:hint="eastAsia" w:ascii="宋体" w:hAnsi="宋体" w:eastAsia="宋体" w:cs="宋体"/>
          <w:color w:val="auto"/>
          <w:sz w:val="21"/>
          <w:szCs w:val="21"/>
          <w:highlight w:val="none"/>
          <w:u w:val="single"/>
        </w:rPr>
        <w:t>（1）施工现场具备施工条件的要求及完成时间：已完成。</w:t>
      </w:r>
    </w:p>
    <w:p w14:paraId="692FEA63">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（2）将所需的水、电、电讯线路接至施工现场的时间、地点和供应要求：本工程所需施工用水由发包人提供供水接口，从供水接口至施工现场所产生的一切费用及施工中应承担的水费和水损费用由承包人承担。</w:t>
      </w:r>
    </w:p>
    <w:p w14:paraId="4D3E3995">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本工程所需施工用电由发包人提供供电接口，从供电接口至施工现场所产生的一切费用及施工中应承担的电费和电损费用由承包人承担。</w:t>
      </w:r>
    </w:p>
    <w:p w14:paraId="229FA21A">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（3）施工场地与公共道路的通道开通时间和要求：  已开通  。</w:t>
      </w:r>
    </w:p>
    <w:p w14:paraId="0D346660">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（4）工程地质和地下管网线资料的提供时间：开工前一周   。</w:t>
      </w:r>
    </w:p>
    <w:p w14:paraId="36799950">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p>
    <w:p w14:paraId="19937E26">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（6）水准点与坐标控制点交验要求：开工前提供水准点与坐标控制点，按施工图由发包人、承包人、监理现场书面交验，交验后，承包人应妥善保护场内水准点与控制点，任意破坏或遗失应由承包人负责。</w:t>
      </w:r>
    </w:p>
    <w:p w14:paraId="5FCD754F">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（7）图纸会审和设计交底时间：开工前。</w:t>
      </w:r>
    </w:p>
    <w:p w14:paraId="419D9096">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（8）协调处理施工场地周围地下管线和邻近建筑物、构筑物（含文物保护建筑）、</w:t>
      </w:r>
      <w:r>
        <w:rPr>
          <w:rFonts w:hint="eastAsia" w:ascii="宋体" w:hAnsi="宋体" w:eastAsia="宋体" w:cs="宋体"/>
          <w:color w:val="auto"/>
          <w:sz w:val="21"/>
          <w:szCs w:val="21"/>
          <w:highlight w:val="none"/>
          <w:u w:val="single"/>
          <w:lang w:eastAsia="zh-CN"/>
        </w:rPr>
        <w:t>古树名木保护</w:t>
      </w:r>
      <w:r>
        <w:rPr>
          <w:rFonts w:hint="eastAsia" w:ascii="宋体" w:hAnsi="宋体" w:eastAsia="宋体" w:cs="宋体"/>
          <w:color w:val="auto"/>
          <w:sz w:val="21"/>
          <w:szCs w:val="21"/>
          <w:highlight w:val="none"/>
          <w:u w:val="single"/>
        </w:rPr>
        <w:t xml:space="preserve">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hint="eastAsia" w:ascii="宋体" w:hAnsi="宋体" w:eastAsia="宋体" w:cs="宋体"/>
          <w:color w:val="auto"/>
          <w:sz w:val="21"/>
          <w:szCs w:val="21"/>
          <w:highlight w:val="none"/>
        </w:rPr>
        <w:t>。</w:t>
      </w:r>
    </w:p>
    <w:p w14:paraId="142C8C51">
      <w:pPr>
        <w:pageBreakBefore w:val="0"/>
        <w:widowControl w:val="0"/>
        <w:kinsoku/>
        <w:wordWrap/>
        <w:overflowPunct/>
        <w:topLinePunct w:val="0"/>
        <w:bidi w:val="0"/>
        <w:spacing w:line="380" w:lineRule="exact"/>
        <w:ind w:left="0" w:leftChars="0" w:firstLine="420" w:firstLineChars="200"/>
        <w:textAlignment w:val="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资金来源证明及支付担保</w:t>
      </w:r>
    </w:p>
    <w:p w14:paraId="795140BB">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发包人提供资金来源证明的期限要求：</w:t>
      </w:r>
      <w:r>
        <w:rPr>
          <w:rFonts w:hint="eastAsia" w:ascii="宋体" w:hAnsi="宋体" w:eastAsia="宋体" w:cs="宋体"/>
          <w:color w:val="auto"/>
          <w:sz w:val="21"/>
          <w:szCs w:val="21"/>
          <w:highlight w:val="none"/>
          <w:u w:val="single"/>
        </w:rPr>
        <w:t xml:space="preserve"> 不提供 </w:t>
      </w:r>
      <w:r>
        <w:rPr>
          <w:rFonts w:hint="eastAsia" w:ascii="宋体" w:hAnsi="宋体" w:eastAsia="宋体" w:cs="宋体"/>
          <w:color w:val="auto"/>
          <w:sz w:val="21"/>
          <w:szCs w:val="21"/>
          <w:highlight w:val="none"/>
        </w:rPr>
        <w:t>。</w:t>
      </w:r>
    </w:p>
    <w:p w14:paraId="465D7120">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发包人是否提供支付担保：</w:t>
      </w:r>
      <w:r>
        <w:rPr>
          <w:rFonts w:hint="eastAsia" w:ascii="宋体" w:hAnsi="宋体" w:eastAsia="宋体" w:cs="宋体"/>
          <w:color w:val="auto"/>
          <w:sz w:val="21"/>
          <w:szCs w:val="21"/>
          <w:highlight w:val="none"/>
          <w:u w:val="single"/>
        </w:rPr>
        <w:t xml:space="preserve">不提供 </w:t>
      </w:r>
      <w:r>
        <w:rPr>
          <w:rFonts w:hint="eastAsia" w:ascii="宋体" w:hAnsi="宋体" w:eastAsia="宋体" w:cs="宋体"/>
          <w:color w:val="auto"/>
          <w:sz w:val="21"/>
          <w:szCs w:val="21"/>
          <w:highlight w:val="none"/>
        </w:rPr>
        <w:t>。</w:t>
      </w:r>
    </w:p>
    <w:p w14:paraId="59DCECE3">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发包人提供支付担保的形式</w:t>
      </w:r>
      <w:r>
        <w:rPr>
          <w:rFonts w:hint="eastAsia" w:ascii="宋体" w:hAnsi="宋体" w:cs="宋体"/>
          <w:color w:val="auto"/>
          <w:sz w:val="21"/>
          <w:szCs w:val="21"/>
          <w:highlight w:val="none"/>
          <w:lang w:eastAsia="zh-CN"/>
        </w:rPr>
        <w:t>：</w:t>
      </w:r>
    </w:p>
    <w:p w14:paraId="09DFD5AB">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2.4 农民工工资预存要求</w:t>
      </w:r>
    </w:p>
    <w:p w14:paraId="7D89E4DD">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1）本项目开工前，发包人应按淮安市《保障农民工工资支付七条措施》要求，向农民工工资专用账户一次性预存不低于2个月工资的资金（工期不足2个月的足额预存），预存金额由承包人编制工资预算报发包人审定后执行。</w:t>
      </w:r>
    </w:p>
    <w:p w14:paraId="44148055">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（2）监理单位应对预存资金到账情况进行核查，未满足资金预存要求的，不得签发开工通知。</w:t>
      </w:r>
    </w:p>
    <w:p w14:paraId="5486417B">
      <w:pPr>
        <w:pageBreakBefore w:val="0"/>
        <w:widowControl w:val="0"/>
        <w:kinsoku/>
        <w:wordWrap/>
        <w:overflowPunct/>
        <w:topLinePunct w:val="0"/>
        <w:bidi w:val="0"/>
        <w:spacing w:line="380" w:lineRule="exact"/>
        <w:ind w:left="0" w:leftChars="0" w:firstLine="420" w:firstLineChars="200"/>
        <w:textAlignment w:val="auto"/>
        <w:rPr>
          <w:rFonts w:hint="default" w:ascii="宋体" w:hAnsi="宋体" w:eastAsia="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（3）专用账户资金由开户银行动态监管，发包人应确保账户余额始终不低于 2 个月工资总额。</w:t>
      </w:r>
    </w:p>
    <w:p w14:paraId="61B7AFD3">
      <w:pPr>
        <w:pStyle w:val="2"/>
        <w:pageBreakBefore w:val="0"/>
        <w:widowControl w:val="0"/>
        <w:kinsoku/>
        <w:wordWrap/>
        <w:overflowPunct/>
        <w:topLinePunct w:val="0"/>
        <w:bidi w:val="0"/>
        <w:spacing w:line="380" w:lineRule="exact"/>
        <w:ind w:left="0" w:leftChars="0" w:firstLine="422" w:firstLineChars="200"/>
        <w:textAlignment w:val="auto"/>
        <w:rPr>
          <w:rFonts w:hint="eastAsia" w:ascii="宋体" w:hAnsi="宋体" w:eastAsia="宋体" w:cs="宋体"/>
          <w:color w:val="auto"/>
          <w:sz w:val="21"/>
          <w:szCs w:val="21"/>
          <w:highlight w:val="none"/>
          <w:lang w:eastAsia="zh-CN"/>
        </w:rPr>
      </w:pPr>
      <w:bookmarkStart w:id="87" w:name="_Toc351203635"/>
      <w:r>
        <w:rPr>
          <w:rFonts w:hint="eastAsia" w:ascii="宋体" w:hAnsi="宋体" w:eastAsia="宋体" w:cs="宋体"/>
          <w:color w:val="auto"/>
          <w:sz w:val="21"/>
          <w:szCs w:val="21"/>
          <w:highlight w:val="none"/>
          <w:lang w:eastAsia="zh-CN"/>
        </w:rPr>
        <w:t>3</w:t>
      </w:r>
      <w:bookmarkStart w:id="88" w:name="_Toc297048344"/>
      <w:bookmarkStart w:id="89" w:name="_Toc292559868"/>
      <w:bookmarkStart w:id="90" w:name="_Toc292559363"/>
      <w:bookmarkStart w:id="91" w:name="_Toc296347157"/>
      <w:bookmarkStart w:id="92" w:name="_Toc296944497"/>
      <w:bookmarkStart w:id="93" w:name="_Toc296503158"/>
      <w:bookmarkStart w:id="94" w:name="_Toc296890986"/>
      <w:bookmarkStart w:id="95" w:name="_Toc296891198"/>
      <w:bookmarkStart w:id="96" w:name="_Toc296346659"/>
      <w:bookmarkStart w:id="97" w:name="_Toc297120458"/>
      <w:r>
        <w:rPr>
          <w:rFonts w:hint="eastAsia" w:ascii="宋体" w:hAnsi="宋体" w:eastAsia="宋体" w:cs="宋体"/>
          <w:color w:val="auto"/>
          <w:sz w:val="21"/>
          <w:szCs w:val="21"/>
          <w:highlight w:val="none"/>
          <w:lang w:eastAsia="zh-CN"/>
        </w:rPr>
        <w:t>. 承包人</w:t>
      </w:r>
      <w:bookmarkEnd w:id="87"/>
    </w:p>
    <w:bookmarkEnd w:id="88"/>
    <w:bookmarkEnd w:id="89"/>
    <w:bookmarkEnd w:id="90"/>
    <w:bookmarkEnd w:id="91"/>
    <w:bookmarkEnd w:id="92"/>
    <w:bookmarkEnd w:id="93"/>
    <w:bookmarkEnd w:id="94"/>
    <w:bookmarkEnd w:id="95"/>
    <w:bookmarkEnd w:id="96"/>
    <w:bookmarkEnd w:id="97"/>
    <w:p w14:paraId="63C2B903">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承包人的一般义务</w:t>
      </w:r>
    </w:p>
    <w:p w14:paraId="5941D9BD">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（1）承包人提交的竣工资料的内容：</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中标通知书、招标文件、</w:t>
      </w:r>
      <w:r>
        <w:rPr>
          <w:rFonts w:hint="eastAsia" w:ascii="宋体" w:hAnsi="宋体" w:cs="宋体"/>
          <w:color w:val="auto"/>
          <w:kern w:val="0"/>
          <w:sz w:val="21"/>
          <w:szCs w:val="21"/>
          <w:highlight w:val="none"/>
          <w:u w:val="single"/>
          <w:lang w:eastAsia="zh-CN"/>
        </w:rPr>
        <w:t>响应文件</w:t>
      </w:r>
      <w:r>
        <w:rPr>
          <w:rFonts w:hint="eastAsia" w:ascii="宋体" w:hAnsi="宋体" w:eastAsia="宋体" w:cs="宋体"/>
          <w:color w:val="auto"/>
          <w:kern w:val="0"/>
          <w:sz w:val="21"/>
          <w:szCs w:val="21"/>
          <w:highlight w:val="none"/>
          <w:u w:val="single"/>
        </w:rPr>
        <w:t xml:space="preserve">、合同及协议附件、竣工图纸、变更签证、竣工结算书  </w:t>
      </w:r>
      <w:r>
        <w:rPr>
          <w:rFonts w:hint="eastAsia" w:ascii="宋体" w:hAnsi="宋体" w:eastAsia="宋体" w:cs="宋体"/>
          <w:color w:val="auto"/>
          <w:kern w:val="0"/>
          <w:sz w:val="21"/>
          <w:szCs w:val="21"/>
          <w:highlight w:val="none"/>
        </w:rPr>
        <w:t>。</w:t>
      </w:r>
    </w:p>
    <w:p w14:paraId="1459B780">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承包人需要提交的竣工资料套数：</w:t>
      </w:r>
      <w:r>
        <w:rPr>
          <w:rFonts w:hint="eastAsia" w:ascii="宋体" w:hAnsi="宋体" w:eastAsia="宋体" w:cs="宋体"/>
          <w:color w:val="auto"/>
          <w:sz w:val="21"/>
          <w:szCs w:val="21"/>
          <w:highlight w:val="none"/>
          <w:u w:val="single"/>
        </w:rPr>
        <w:t xml:space="preserve">   2套   </w:t>
      </w:r>
      <w:r>
        <w:rPr>
          <w:rFonts w:hint="eastAsia" w:ascii="宋体" w:hAnsi="宋体" w:eastAsia="宋体" w:cs="宋体"/>
          <w:color w:val="auto"/>
          <w:sz w:val="21"/>
          <w:szCs w:val="21"/>
          <w:highlight w:val="none"/>
        </w:rPr>
        <w:t>。</w:t>
      </w:r>
    </w:p>
    <w:p w14:paraId="2EA0672D">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承包人提交的竣工资料的费用承担：</w:t>
      </w:r>
      <w:r>
        <w:rPr>
          <w:rFonts w:hint="eastAsia" w:ascii="宋体" w:hAnsi="宋体" w:eastAsia="宋体" w:cs="宋体"/>
          <w:color w:val="auto"/>
          <w:sz w:val="21"/>
          <w:szCs w:val="21"/>
          <w:highlight w:val="none"/>
          <w:u w:val="single"/>
        </w:rPr>
        <w:t xml:space="preserve">   施工单位      </w:t>
      </w:r>
      <w:r>
        <w:rPr>
          <w:rFonts w:hint="eastAsia" w:ascii="宋体" w:hAnsi="宋体" w:eastAsia="宋体" w:cs="宋体"/>
          <w:color w:val="auto"/>
          <w:sz w:val="21"/>
          <w:szCs w:val="21"/>
          <w:highlight w:val="none"/>
        </w:rPr>
        <w:t>。</w:t>
      </w:r>
    </w:p>
    <w:p w14:paraId="1FDC4CBE">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承包人提交的竣工资料移交时间：</w:t>
      </w:r>
      <w:r>
        <w:rPr>
          <w:rFonts w:hint="eastAsia" w:ascii="宋体" w:hAnsi="宋体" w:eastAsia="宋体" w:cs="宋体"/>
          <w:color w:val="auto"/>
          <w:sz w:val="21"/>
          <w:szCs w:val="21"/>
          <w:highlight w:val="none"/>
          <w:u w:val="single"/>
        </w:rPr>
        <w:t>申报工程竣工验收之前由承包人负责整理和提交竣工资料（包括竣工图）报相关部门验收</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竣工验收合格并经发包人认可后28天内承包人向发包人提交完整竣工资料报送审计并完成所有资料向工程所在地城建档案管理部门及相关职能部门的移交工作</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若因承包人提供的竣工资料延误或所报材料不符合要求影响正常工程竣工验收</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导致发包人的工程不能按期交付或投入使用</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无论哪项拖延，均视为承包人违约</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承包人按每拖延一天 1000元向发包人支付违约金</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 xml:space="preserve">并且发包人保留进一步向承包人索赔补偿不足部分的权利 </w:t>
      </w:r>
      <w:r>
        <w:rPr>
          <w:rFonts w:hint="eastAsia" w:ascii="宋体" w:hAnsi="宋体" w:eastAsia="宋体" w:cs="宋体"/>
          <w:color w:val="auto"/>
          <w:sz w:val="21"/>
          <w:szCs w:val="21"/>
          <w:highlight w:val="none"/>
        </w:rPr>
        <w:t>。</w:t>
      </w:r>
    </w:p>
    <w:p w14:paraId="60E184FE">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承包人提交的竣工资料形式要求：</w:t>
      </w:r>
      <w:r>
        <w:rPr>
          <w:rFonts w:hint="eastAsia" w:ascii="宋体" w:hAnsi="宋体" w:eastAsia="宋体" w:cs="宋体"/>
          <w:color w:val="auto"/>
          <w:sz w:val="21"/>
          <w:szCs w:val="21"/>
          <w:highlight w:val="none"/>
          <w:u w:val="single"/>
        </w:rPr>
        <w:t xml:space="preserve">  书面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457AA42">
      <w:pPr>
        <w:pageBreakBefore w:val="0"/>
        <w:widowControl w:val="0"/>
        <w:numPr>
          <w:ilvl w:val="0"/>
          <w:numId w:val="9"/>
        </w:numPr>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（2）承包人应履行的其他义务：</w:t>
      </w:r>
      <w:r>
        <w:rPr>
          <w:rFonts w:hint="eastAsia" w:ascii="宋体" w:hAnsi="宋体" w:eastAsia="宋体" w:cs="宋体"/>
          <w:color w:val="auto"/>
          <w:sz w:val="21"/>
          <w:szCs w:val="21"/>
          <w:highlight w:val="none"/>
          <w:u w:val="single"/>
        </w:rPr>
        <w:t>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p>
    <w:p w14:paraId="0AB54307">
      <w:pPr>
        <w:pageBreakBefore w:val="0"/>
        <w:widowControl w:val="0"/>
        <w:numPr>
          <w:ilvl w:val="0"/>
          <w:numId w:val="9"/>
        </w:numPr>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p>
    <w:p w14:paraId="2B842F66">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（3）承包人必须遵守江苏省及淮安市、盱眙县行业主管部门的相关规定，服从行业主管部门的管理，凡</w:t>
      </w:r>
      <w:r>
        <w:rPr>
          <w:rFonts w:hint="eastAsia" w:ascii="宋体" w:hAnsi="宋体" w:eastAsia="宋体" w:cs="宋体"/>
          <w:color w:val="auto"/>
          <w:sz w:val="21"/>
          <w:szCs w:val="21"/>
          <w:highlight w:val="none"/>
          <w:u w:val="single"/>
          <w:lang w:eastAsia="zh-CN"/>
        </w:rPr>
        <w:t>涉及</w:t>
      </w:r>
      <w:r>
        <w:rPr>
          <w:rFonts w:hint="eastAsia" w:ascii="宋体" w:hAnsi="宋体" w:eastAsia="宋体" w:cs="宋体"/>
          <w:color w:val="auto"/>
          <w:sz w:val="21"/>
          <w:szCs w:val="21"/>
          <w:highlight w:val="none"/>
          <w:u w:val="single"/>
        </w:rPr>
        <w:t>承包人的安全监督、质量监督、施工备案、车辆准运等有关证、照，均由承包人自行办理，发包人给予配合，发生的费用全部由承包人承担 。</w:t>
      </w:r>
    </w:p>
    <w:p w14:paraId="1BD2AAC0">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w:t>
      </w:r>
      <w:r>
        <w:rPr>
          <w:rFonts w:hint="eastAsia" w:ascii="宋体" w:hAnsi="宋体" w:eastAsia="宋体" w:cs="宋体"/>
          <w:color w:val="auto"/>
          <w:sz w:val="21"/>
          <w:szCs w:val="21"/>
          <w:highlight w:val="none"/>
          <w:u w:val="single"/>
          <w:lang w:eastAsia="zh-CN"/>
        </w:rPr>
        <w:t>涉及的</w:t>
      </w:r>
      <w:r>
        <w:rPr>
          <w:rFonts w:hint="eastAsia" w:ascii="宋体" w:hAnsi="宋体" w:eastAsia="宋体" w:cs="宋体"/>
          <w:color w:val="auto"/>
          <w:sz w:val="21"/>
          <w:szCs w:val="21"/>
          <w:highlight w:val="none"/>
          <w:u w:val="single"/>
        </w:rPr>
        <w:t>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p>
    <w:p w14:paraId="114494CF">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（5）承包人所报价格应包含其自身分包引起的各项增加的或额外的费用 。</w:t>
      </w:r>
    </w:p>
    <w:p w14:paraId="26013F41">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（6）承包人加强工程施工车辆的管理，施工车辆不得无故堵塞道路交通，不得沿途</w:t>
      </w:r>
      <w:r>
        <w:rPr>
          <w:rFonts w:hint="eastAsia" w:ascii="宋体" w:hAnsi="宋体" w:eastAsia="宋体" w:cs="宋体"/>
          <w:color w:val="auto"/>
          <w:sz w:val="21"/>
          <w:szCs w:val="21"/>
          <w:highlight w:val="none"/>
          <w:u w:val="single"/>
          <w:lang w:eastAsia="zh-CN"/>
        </w:rPr>
        <w:t>抛撒</w:t>
      </w:r>
      <w:r>
        <w:rPr>
          <w:rFonts w:hint="eastAsia" w:ascii="宋体" w:hAnsi="宋体" w:eastAsia="宋体" w:cs="宋体"/>
          <w:color w:val="auto"/>
          <w:sz w:val="21"/>
          <w:szCs w:val="21"/>
          <w:highlight w:val="none"/>
          <w:u w:val="single"/>
        </w:rPr>
        <w:t>弃土，并根据发包人的要求，安排人员在主要路口疏导车辆、行人交通，其费用由承包人负责 。</w:t>
      </w:r>
    </w:p>
    <w:p w14:paraId="79FC1C3C">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（7）承包人必须对施工现场临时用水、用电工作，进行统一管理，包括但不限于以下内容：</w:t>
      </w:r>
    </w:p>
    <w:p w14:paraId="23972C7C">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p>
    <w:p w14:paraId="4BA42D21">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②承包人负责布设临时水、电设施并进行日常维护管理以保证满足整个工程期间的需要，所发生的布设、维护管理费用在投标时已考虑，已包含在发包价内 。</w:t>
      </w:r>
    </w:p>
    <w:p w14:paraId="1EE4F971">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③承包人应充分考虑用电负荷控制和漏电保护，否则承担一切损失 。</w:t>
      </w:r>
    </w:p>
    <w:p w14:paraId="0D47CAB5">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④承包人的自行分包项目，其使用水电由承包人自行解决与管理 。</w:t>
      </w:r>
    </w:p>
    <w:p w14:paraId="235B139D">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⑤承包人应该充分考虑为各专业承包人提供足额的用水量，否则造成重新从总水源接水的费用由承包人承担 。</w:t>
      </w:r>
    </w:p>
    <w:p w14:paraId="6067995B">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⑥如因城市供电、供水部门等非发包人原因导致的停电、停水超出国家、省、市相关规定，承包人可提出合理工期索赔 。</w:t>
      </w:r>
    </w:p>
    <w:p w14:paraId="1D26F1EA">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⑦临时水电设施的拆除必须征得监理工程师与发包人的批准，拆除后的临时水、电设施由承包人自行处理 。</w:t>
      </w:r>
    </w:p>
    <w:p w14:paraId="60A8412F">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p>
    <w:p w14:paraId="731D42DB">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①设置、维修和管理临时排污系统 。</w:t>
      </w:r>
    </w:p>
    <w:p w14:paraId="2FB10C2C">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②每天保持施工道路的畅通与清洁，负责保养及维修进入工地施工区域道路，费用由承包人承担 。</w:t>
      </w:r>
    </w:p>
    <w:p w14:paraId="08A1C478">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③收集和处理所有施工现场和生活区域内的所有垃圾，直到竣工交付为止 。</w:t>
      </w:r>
    </w:p>
    <w:p w14:paraId="02D5887D">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④承包人应按发包人要求，按规定做好场内道路硬化、布置各项标识、标牌、便于检查、视察或参观 。</w:t>
      </w:r>
    </w:p>
    <w:p w14:paraId="697E15B9">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⑤竣工交付时应将其排污设施全部拆除并清理至发包人满意，承包人承担其相应的费用 。</w:t>
      </w:r>
    </w:p>
    <w:p w14:paraId="76F1E7B9">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（9）在现场施工中，承包人应负责自身施工区域与公共区域的安全设施的搭设与维修管理工作，以及为安全检查所进行的管理、协调、配合工作等。</w:t>
      </w:r>
    </w:p>
    <w:p w14:paraId="3DAB2D4C">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p>
    <w:p w14:paraId="4C45DF04">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p>
    <w:p w14:paraId="171F7CA3">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（12）承包人必须立刻执行发包人派驻的工程师</w:t>
      </w:r>
      <w:r>
        <w:rPr>
          <w:rFonts w:hint="eastAsia" w:ascii="宋体" w:hAnsi="宋体" w:cs="宋体"/>
          <w:color w:val="auto"/>
          <w:sz w:val="21"/>
          <w:szCs w:val="21"/>
          <w:highlight w:val="none"/>
          <w:u w:val="single"/>
          <w:lang w:eastAsia="zh-CN"/>
        </w:rPr>
        <w:t>获得</w:t>
      </w:r>
      <w:r>
        <w:rPr>
          <w:rFonts w:hint="eastAsia" w:ascii="宋体" w:hAnsi="宋体" w:eastAsia="宋体" w:cs="宋体"/>
          <w:color w:val="auto"/>
          <w:sz w:val="21"/>
          <w:szCs w:val="21"/>
          <w:highlight w:val="none"/>
          <w:u w:val="single"/>
        </w:rPr>
        <w:t>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w:t>
      </w:r>
      <w:r>
        <w:rPr>
          <w:rFonts w:hint="eastAsia" w:ascii="宋体" w:hAnsi="宋体" w:eastAsia="宋体" w:cs="宋体"/>
          <w:color w:val="auto"/>
          <w:sz w:val="21"/>
          <w:szCs w:val="21"/>
          <w:highlight w:val="none"/>
          <w:u w:val="single"/>
          <w:lang w:eastAsia="zh-CN"/>
        </w:rPr>
        <w:t>将</w:t>
      </w:r>
      <w:r>
        <w:rPr>
          <w:rFonts w:hint="eastAsia" w:ascii="宋体" w:hAnsi="宋体" w:eastAsia="宋体" w:cs="宋体"/>
          <w:color w:val="auto"/>
          <w:sz w:val="21"/>
          <w:szCs w:val="21"/>
          <w:highlight w:val="none"/>
          <w:u w:val="single"/>
        </w:rPr>
        <w:t>付给承包人的款项中扣除而无须承包人认可，由此造成发包人额外损失或间接损失的，作为债务向承包人追讨 。</w:t>
      </w:r>
    </w:p>
    <w:p w14:paraId="0D6B4216">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（13）承包人必须签收监理工程师发出的书面资料，如有异议必须在收文之日起3日内书面回复，否则视同认可 。</w:t>
      </w:r>
    </w:p>
    <w:p w14:paraId="71F8F823">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p>
    <w:p w14:paraId="130440AE">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①承包人负责上述整个项目的现场管理、工期控制、各专业工程间协调 。</w:t>
      </w:r>
    </w:p>
    <w:p w14:paraId="51D1BB9C">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②承包人负责制定上述整个项目的施工总进度计划、总施工组织设计、执行监理人的有关指令，圆满解决施工、验收中的所有问题 。</w:t>
      </w:r>
    </w:p>
    <w:p w14:paraId="3BCE2485">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③承包人必须负责将专业工程项目的施工单位纳入总承包管理之中，对其进度、质量、安全等进行管理，确保按时、按</w:t>
      </w:r>
      <w:r>
        <w:rPr>
          <w:rFonts w:hint="eastAsia" w:ascii="宋体" w:hAnsi="宋体" w:eastAsia="宋体" w:cs="宋体"/>
          <w:color w:val="auto"/>
          <w:sz w:val="21"/>
          <w:szCs w:val="21"/>
          <w:highlight w:val="none"/>
          <w:u w:val="single"/>
          <w:lang w:eastAsia="zh-CN"/>
        </w:rPr>
        <w:t>质地</w:t>
      </w:r>
      <w:r>
        <w:rPr>
          <w:rFonts w:hint="eastAsia" w:ascii="宋体" w:hAnsi="宋体" w:eastAsia="宋体" w:cs="宋体"/>
          <w:color w:val="auto"/>
          <w:sz w:val="21"/>
          <w:szCs w:val="21"/>
          <w:highlight w:val="none"/>
          <w:u w:val="single"/>
        </w:rPr>
        <w:t>完成上述整个项目内所有专业工程项目。具体责任包括但不限于如下列举 。</w:t>
      </w:r>
    </w:p>
    <w:p w14:paraId="206E920F">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a.配合专业工程的施工，包括提供施工场地和工作面 。</w:t>
      </w:r>
    </w:p>
    <w:p w14:paraId="63436F92">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b.承担施工界面交接处产生的缺陷修补及收头处理 。</w:t>
      </w:r>
    </w:p>
    <w:p w14:paraId="2067A7F1">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c.负责向专业工程单位提供施工用水、施工用电接口和容量、提供搭设临时设施的场地、并负责整个施工区域内（包括临时设施）的用水、用电、排水、生活卫生、文明安全施工等的协调、平衡、日常维护与管理 。</w:t>
      </w:r>
    </w:p>
    <w:p w14:paraId="113965BC">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p>
    <w:p w14:paraId="67DFC9D5">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d.负责向专业工程单位，按届时的现场条件提供已有的垂直运输机械、脚手架的使用方便，且不得向其收取任何额外的费用 。</w:t>
      </w:r>
    </w:p>
    <w:p w14:paraId="4C1DBC20">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e.督查和落实专业工程单位严格</w:t>
      </w:r>
      <w:r>
        <w:rPr>
          <w:rFonts w:hint="eastAsia" w:ascii="宋体" w:hAnsi="宋体" w:eastAsia="宋体" w:cs="宋体"/>
          <w:color w:val="auto"/>
          <w:sz w:val="21"/>
          <w:szCs w:val="21"/>
          <w:highlight w:val="none"/>
          <w:u w:val="single"/>
          <w:lang w:eastAsia="zh-CN"/>
        </w:rPr>
        <w:t>按照</w:t>
      </w:r>
      <w:r>
        <w:rPr>
          <w:rFonts w:hint="eastAsia" w:ascii="宋体" w:hAnsi="宋体" w:eastAsia="宋体" w:cs="宋体"/>
          <w:color w:val="auto"/>
          <w:sz w:val="21"/>
          <w:szCs w:val="21"/>
          <w:highlight w:val="none"/>
          <w:u w:val="single"/>
        </w:rPr>
        <w:t>施工图所设计的要求进行施工。协助审查专业工程单位的施工组织设计，对工序、安全措施、施工条件等衔接进行协调并督促落实及实施。对施工交叉过程中或交叉作业时出现的安全问题及时让其纠正，确保安全施工 。</w:t>
      </w:r>
    </w:p>
    <w:p w14:paraId="4B9517A7">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f.按照国家和地方颁布的工程质量标准、规范，有针对性地落实工程各阶段、各专业的质量管理措施，</w:t>
      </w:r>
      <w:r>
        <w:rPr>
          <w:rFonts w:hint="eastAsia" w:ascii="宋体" w:hAnsi="宋体" w:cs="宋体"/>
          <w:color w:val="auto"/>
          <w:sz w:val="21"/>
          <w:szCs w:val="21"/>
          <w:highlight w:val="none"/>
          <w:u w:val="single"/>
          <w:lang w:eastAsia="zh-CN"/>
        </w:rPr>
        <w:t>督促</w:t>
      </w:r>
      <w:r>
        <w:rPr>
          <w:rFonts w:hint="eastAsia" w:ascii="宋体" w:hAnsi="宋体" w:eastAsia="宋体" w:cs="宋体"/>
          <w:color w:val="auto"/>
          <w:sz w:val="21"/>
          <w:szCs w:val="21"/>
          <w:highlight w:val="none"/>
          <w:u w:val="single"/>
        </w:rPr>
        <w:t>专业工程单位严格执行，确保工程达到本合同要求的质量目标 。</w:t>
      </w:r>
    </w:p>
    <w:p w14:paraId="33D4EAC2">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g.督促和检查专业工程单位按发包人的要求整理各类施工及竣工</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包括竣工图</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 xml:space="preserve"> 的工程技术资料编制，并负责收集整理、汇总本工程施工过程中的有关图纸、技术资料和其他各类工程档案文件资料 。</w:t>
      </w:r>
    </w:p>
    <w:p w14:paraId="5A5EA15C">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h.督查专业工程单位落实产品保护工作。设置足够的为产品保护所需的人力及其他必要的临设，以确保已完工程的完好 。</w:t>
      </w:r>
    </w:p>
    <w:p w14:paraId="68535E4E">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w:t>
      </w:r>
      <w:r>
        <w:rPr>
          <w:rFonts w:hint="eastAsia" w:ascii="宋体" w:hAnsi="宋体" w:eastAsia="宋体" w:cs="宋体"/>
          <w:color w:val="auto"/>
          <w:sz w:val="21"/>
          <w:szCs w:val="21"/>
          <w:highlight w:val="none"/>
          <w:u w:val="none"/>
        </w:rPr>
        <w:t>。</w:t>
      </w:r>
    </w:p>
    <w:p w14:paraId="7B402897">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p>
    <w:p w14:paraId="5F259070">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16）承包人应协调处理扰民与</w:t>
      </w:r>
      <w:r>
        <w:rPr>
          <w:rFonts w:hint="eastAsia" w:ascii="宋体" w:hAnsi="宋体" w:eastAsia="宋体" w:cs="宋体"/>
          <w:color w:val="auto"/>
          <w:sz w:val="21"/>
          <w:szCs w:val="21"/>
          <w:highlight w:val="none"/>
          <w:u w:val="single"/>
          <w:lang w:eastAsia="zh-CN"/>
        </w:rPr>
        <w:t>扰民</w:t>
      </w:r>
      <w:r>
        <w:rPr>
          <w:rFonts w:hint="eastAsia" w:ascii="宋体" w:hAnsi="宋体" w:eastAsia="宋体" w:cs="宋体"/>
          <w:color w:val="auto"/>
          <w:sz w:val="21"/>
          <w:szCs w:val="21"/>
          <w:highlight w:val="none"/>
          <w:u w:val="single"/>
        </w:rPr>
        <w:t>问题，非发包人原因引发的一切纠纷由承包人自行解决，发包人不承担任何责任 。</w:t>
      </w:r>
    </w:p>
    <w:p w14:paraId="50B7EF17">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17）发包人批准承包人临时建筑搭建位置，如在项目竣工前因特殊情况需要使用其占地时，无论何时，承包人应无条件且自费予以搬迁与重建，发包人不予任何补偿 。</w:t>
      </w:r>
    </w:p>
    <w:p w14:paraId="3A5DC689">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18）现场项目部环境和职业健康安全管理制度</w:t>
      </w:r>
    </w:p>
    <w:p w14:paraId="1F04A56C">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①承包人须对本工程的环境因素和危险源进行识别，编制项目的《环境因素辨识清单》 和《危险源辨识清单》，并识别出其中的重大环境因素和重大危险源。</w:t>
      </w:r>
    </w:p>
    <w:p w14:paraId="335C9354">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2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②</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《环境因素辨识清单》和《危险源辨识清单》应报监理部备案。 </w:t>
      </w:r>
    </w:p>
    <w:p w14:paraId="420E955A">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3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③</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针对识别出的重大环境因素和重大危险源，承包人须编制管理方案，报发包人、监理 单位批准后实施。 </w:t>
      </w:r>
    </w:p>
    <w:p w14:paraId="11A1E1F3">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4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④</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承包人须识别出本工程在环境和职业健康安全方面的应急事件，针对应急事件编制 《应急预案》，组织应急演习。 </w:t>
      </w:r>
    </w:p>
    <w:p w14:paraId="32AE3080">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 xml:space="preserve">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p>
    <w:p w14:paraId="4886194F">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①承包人应按国家、江苏省及淮安市政府有关文件要求建立健全劳动保障制度，按时发放员工工资（</w:t>
      </w:r>
      <w:r>
        <w:rPr>
          <w:rFonts w:hint="eastAsia" w:ascii="宋体" w:hAnsi="宋体" w:eastAsia="宋体" w:cs="宋体"/>
          <w:color w:val="auto"/>
          <w:sz w:val="21"/>
          <w:szCs w:val="21"/>
          <w:highlight w:val="none"/>
          <w:u w:val="single"/>
          <w:lang w:eastAsia="zh-CN"/>
        </w:rPr>
        <w:t>含农</w:t>
      </w:r>
      <w:r>
        <w:rPr>
          <w:rFonts w:hint="eastAsia" w:ascii="宋体" w:hAnsi="宋体" w:eastAsia="宋体" w:cs="宋体"/>
          <w:color w:val="auto"/>
          <w:sz w:val="21"/>
          <w:szCs w:val="21"/>
          <w:highlight w:val="none"/>
          <w:u w:val="single"/>
        </w:rPr>
        <w:t>民工工资），承包人同时必须严格执行中华人民共和国劳动保障部和中华人民共和国建设部联合下发的《建设领域农民工工资支付管理暂行办法》，及时足额发放农民工工资。</w:t>
      </w:r>
    </w:p>
    <w:p w14:paraId="0FAD882F">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2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②</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承包人不得与监理人串通损害发包人利益，不得为监理人或其派驻现场的监理人员提供合同约定以外的通讯设备、交通工具，不得向监理人员支付报酬   。</w:t>
      </w:r>
    </w:p>
    <w:p w14:paraId="7AF861C5">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3 \* GB3 \* MERGEFORMAT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③</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p>
    <w:p w14:paraId="12C8EC3E">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4 \* GB3 \* MERGEFORMAT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④</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承包人应积极主动核对图纸中的路面标高、坐标、宽度、厚度、坡度、尺寸等技术数据，充分理解设计意图，积极配合发包人组织的施工图纸交底及会审工作，指出图纸上任何不</w:t>
      </w:r>
      <w:r>
        <w:rPr>
          <w:rFonts w:hint="eastAsia" w:ascii="宋体" w:hAnsi="宋体" w:cs="宋体"/>
          <w:color w:val="auto"/>
          <w:sz w:val="21"/>
          <w:szCs w:val="21"/>
          <w:highlight w:val="none"/>
          <w:u w:val="single"/>
          <w:lang w:eastAsia="zh-CN"/>
        </w:rPr>
        <w:t>符合</w:t>
      </w:r>
      <w:r>
        <w:rPr>
          <w:rFonts w:hint="eastAsia" w:ascii="宋体" w:hAnsi="宋体" w:eastAsia="宋体" w:cs="宋体"/>
          <w:color w:val="auto"/>
          <w:sz w:val="21"/>
          <w:szCs w:val="21"/>
          <w:highlight w:val="none"/>
          <w:u w:val="single"/>
        </w:rPr>
        <w:t>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p>
    <w:p w14:paraId="3C3A4F10">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5 \* GB3 \* MERGEFORMAT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⑤</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在履行合同过程中，承包人应执行国家和地方的法律法</w:t>
      </w:r>
      <w:r>
        <w:rPr>
          <w:rFonts w:hint="eastAsia" w:ascii="宋体" w:hAnsi="宋体" w:eastAsia="宋体" w:cs="宋体"/>
          <w:color w:val="auto"/>
          <w:sz w:val="21"/>
          <w:szCs w:val="21"/>
          <w:highlight w:val="none"/>
          <w:u w:val="single"/>
          <w:lang w:eastAsia="zh-CN"/>
        </w:rPr>
        <w:t>规和</w:t>
      </w:r>
      <w:r>
        <w:rPr>
          <w:rFonts w:hint="eastAsia" w:ascii="宋体" w:hAnsi="宋体" w:eastAsia="宋体" w:cs="宋体"/>
          <w:color w:val="auto"/>
          <w:sz w:val="21"/>
          <w:szCs w:val="21"/>
          <w:highlight w:val="none"/>
          <w:u w:val="single"/>
        </w:rPr>
        <w:t>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p>
    <w:p w14:paraId="5D9DF829">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注：上述相关费用由承包人在投标时自行考虑，已包含在发包价内。施工期间发生的该类一切费用发包人不予补偿   </w:t>
      </w:r>
      <w:r>
        <w:rPr>
          <w:rFonts w:hint="eastAsia" w:ascii="宋体" w:hAnsi="宋体" w:eastAsia="宋体" w:cs="宋体"/>
          <w:color w:val="auto"/>
          <w:sz w:val="21"/>
          <w:szCs w:val="21"/>
          <w:highlight w:val="none"/>
        </w:rPr>
        <w:t>。</w:t>
      </w:r>
    </w:p>
    <w:p w14:paraId="7D654E4F">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（20）农民工工资支付义务</w:t>
      </w:r>
    </w:p>
    <w:p w14:paraId="1070E814">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① 承包人应于每月 10 日前，将上个月需发放的农民工工资数额同步报发包人、监理单位及属地人社部门备案；</w:t>
      </w:r>
    </w:p>
    <w:p w14:paraId="20EBE3D1">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② 承包人应于每月 25 日前足额支付上个月农民工工资，不得延迟或克扣；</w:t>
      </w:r>
    </w:p>
    <w:p w14:paraId="0DC461E7">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③ 承包人应对务工人员考勤记录、用工数量、工资核算标准、实发明细等信息的真实性、准确性、完整性负责，因审核把关不当导致工资漏发、错发的，由承包人承担清偿总责；</w:t>
      </w:r>
    </w:p>
    <w:p w14:paraId="3BB87FEB">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④ 承包人须实行农民工实名制管理，建立完整的用工台账（含身份证复印件、考勤记录、工资签收表），随时接受发包人及监管部门核查。</w:t>
      </w:r>
    </w:p>
    <w:p w14:paraId="77E2F96E">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项目经理</w:t>
      </w:r>
    </w:p>
    <w:p w14:paraId="1C4E2A51">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3.2.1 </w:t>
      </w:r>
      <w:r>
        <w:rPr>
          <w:rFonts w:hint="eastAsia" w:ascii="宋体" w:hAnsi="宋体" w:eastAsia="宋体" w:cs="宋体"/>
          <w:color w:val="auto"/>
          <w:sz w:val="21"/>
          <w:szCs w:val="21"/>
          <w:highlight w:val="none"/>
        </w:rPr>
        <w:t>项目经理：</w:t>
      </w:r>
    </w:p>
    <w:p w14:paraId="3F6F45CF">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5E3FB2DA">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78BEB450">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建造师执业资格等级：</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54F68827">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建造师注册证书号：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575309E3">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建造师执业印章号</w:t>
      </w:r>
      <w:r>
        <w:rPr>
          <w:rFonts w:hint="eastAsia" w:ascii="宋体" w:hAnsi="宋体" w:eastAsia="宋体" w:cs="宋体"/>
          <w:color w:val="auto"/>
          <w:sz w:val="21"/>
          <w:szCs w:val="21"/>
          <w:highlight w:val="none"/>
          <w:lang w:eastAsia="zh-CN"/>
        </w:rPr>
        <w:t>：</w:t>
      </w:r>
    </w:p>
    <w:p w14:paraId="778A1291">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安全生产考核合格证书号：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7E7EE696">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lang w:eastAsia="zh-CN"/>
        </w:rPr>
        <w:t>：</w:t>
      </w:r>
    </w:p>
    <w:p w14:paraId="4F4488A2">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lang w:eastAsia="zh-CN"/>
        </w:rPr>
        <w:t>：</w:t>
      </w:r>
    </w:p>
    <w:p w14:paraId="5A6F8E82">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lang w:eastAsia="zh-CN"/>
        </w:rPr>
        <w:t>：</w:t>
      </w:r>
    </w:p>
    <w:p w14:paraId="0E416DA1">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承包人对项目经理的授权范围如下</w:t>
      </w:r>
      <w:r>
        <w:rPr>
          <w:rFonts w:hint="eastAsia" w:ascii="宋体" w:hAnsi="宋体" w:eastAsia="宋体" w:cs="宋体"/>
          <w:color w:val="auto"/>
          <w:sz w:val="21"/>
          <w:szCs w:val="21"/>
          <w:highlight w:val="none"/>
          <w:lang w:eastAsia="zh-CN"/>
        </w:rPr>
        <w:t>：</w:t>
      </w:r>
    </w:p>
    <w:p w14:paraId="09F1E935">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关于项目经理每月在施工现场的时间要求：</w:t>
      </w:r>
      <w:r>
        <w:rPr>
          <w:rFonts w:hint="eastAsia" w:ascii="宋体" w:hAnsi="宋体" w:eastAsia="宋体" w:cs="宋体"/>
          <w:color w:val="auto"/>
          <w:kern w:val="0"/>
          <w:sz w:val="21"/>
          <w:szCs w:val="21"/>
          <w:highlight w:val="none"/>
          <w:u w:val="single"/>
        </w:rPr>
        <w:t>不少于 22 天</w:t>
      </w:r>
      <w:r>
        <w:rPr>
          <w:rFonts w:hint="eastAsia" w:ascii="宋体" w:hAnsi="宋体" w:eastAsia="宋体" w:cs="宋体"/>
          <w:color w:val="auto"/>
          <w:sz w:val="21"/>
          <w:szCs w:val="21"/>
          <w:highlight w:val="none"/>
        </w:rPr>
        <w:t>。</w:t>
      </w:r>
    </w:p>
    <w:p w14:paraId="18B3236C">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承包人未提交劳动合同</w:t>
      </w:r>
      <w:r>
        <w:rPr>
          <w:rFonts w:hint="eastAsia" w:ascii="宋体" w:hAnsi="宋体" w:cs="宋体"/>
          <w:color w:val="auto"/>
          <w:kern w:val="0"/>
          <w:sz w:val="21"/>
          <w:szCs w:val="21"/>
          <w:highlight w:val="none"/>
          <w:lang w:val="en-US" w:eastAsia="zh-CN"/>
        </w:rPr>
        <w:t>的</w:t>
      </w:r>
      <w:r>
        <w:rPr>
          <w:rFonts w:hint="eastAsia" w:ascii="宋体" w:hAnsi="宋体" w:eastAsia="宋体" w:cs="宋体"/>
          <w:color w:val="auto"/>
          <w:kern w:val="0"/>
          <w:sz w:val="21"/>
          <w:szCs w:val="21"/>
          <w:highlight w:val="none"/>
        </w:rPr>
        <w:t>违约责任</w:t>
      </w:r>
      <w:r>
        <w:rPr>
          <w:rFonts w:hint="eastAsia" w:ascii="宋体" w:hAnsi="宋体" w:eastAsia="宋体" w:cs="宋体"/>
          <w:color w:val="auto"/>
          <w:kern w:val="0"/>
          <w:sz w:val="21"/>
          <w:szCs w:val="21"/>
          <w:highlight w:val="none"/>
          <w:lang w:eastAsia="zh-CN"/>
        </w:rPr>
        <w:t>：</w:t>
      </w:r>
    </w:p>
    <w:p w14:paraId="67DF351A">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项目经理未经批准，擅自离开施工现场的违约责任：</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每发现一次</w:t>
      </w:r>
      <w:r>
        <w:rPr>
          <w:rFonts w:hint="eastAsia" w:ascii="宋体" w:hAnsi="宋体" w:eastAsia="宋体" w:cs="宋体"/>
          <w:color w:val="auto"/>
          <w:kern w:val="0"/>
          <w:sz w:val="21"/>
          <w:szCs w:val="21"/>
          <w:highlight w:val="none"/>
          <w:u w:val="single"/>
          <w:lang w:eastAsia="zh-CN"/>
        </w:rPr>
        <w:t>罚</w:t>
      </w:r>
      <w:r>
        <w:rPr>
          <w:rFonts w:hint="eastAsia" w:ascii="宋体" w:hAnsi="宋体" w:eastAsia="宋体" w:cs="宋体"/>
          <w:color w:val="auto"/>
          <w:kern w:val="0"/>
          <w:sz w:val="21"/>
          <w:szCs w:val="21"/>
          <w:highlight w:val="none"/>
          <w:u w:val="single"/>
        </w:rPr>
        <w:t>中标价的 1%（以三次为限），直至解除合同</w:t>
      </w:r>
      <w:r>
        <w:rPr>
          <w:rFonts w:hint="eastAsia" w:ascii="宋体" w:hAnsi="宋体" w:eastAsia="宋体" w:cs="宋体"/>
          <w:color w:val="auto"/>
          <w:kern w:val="0"/>
          <w:sz w:val="21"/>
          <w:szCs w:val="21"/>
          <w:highlight w:val="none"/>
        </w:rPr>
        <w:t>。</w:t>
      </w:r>
    </w:p>
    <w:p w14:paraId="0CC87390">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 承包人擅自更换项目经理的违约责任：</w:t>
      </w:r>
      <w:r>
        <w:rPr>
          <w:rFonts w:hint="eastAsia" w:ascii="宋体" w:hAnsi="宋体" w:eastAsia="宋体" w:cs="宋体"/>
          <w:color w:val="auto"/>
          <w:sz w:val="21"/>
          <w:szCs w:val="21"/>
          <w:highlight w:val="none"/>
          <w:u w:val="single"/>
        </w:rPr>
        <w:t>罚中标价 10%直至解除合同</w:t>
      </w:r>
      <w:r>
        <w:rPr>
          <w:rFonts w:hint="eastAsia" w:ascii="宋体" w:hAnsi="宋体" w:eastAsia="宋体" w:cs="宋体"/>
          <w:color w:val="auto"/>
          <w:sz w:val="21"/>
          <w:szCs w:val="21"/>
          <w:highlight w:val="none"/>
        </w:rPr>
        <w:t>。</w:t>
      </w:r>
    </w:p>
    <w:p w14:paraId="5ABBB346">
      <w:pPr>
        <w:pageBreakBefore w:val="0"/>
        <w:widowControl w:val="0"/>
        <w:kinsoku/>
        <w:wordWrap/>
        <w:overflowPunct/>
        <w:topLinePunct w:val="0"/>
        <w:bidi w:val="0"/>
        <w:spacing w:line="380" w:lineRule="exact"/>
        <w:ind w:left="0" w:leftChars="0" w:firstLine="420" w:firstLineChars="200"/>
        <w:textAlignment w:val="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 承包人无正当理由拒绝更换项目经理的违约责任：</w:t>
      </w:r>
      <w:r>
        <w:rPr>
          <w:rFonts w:hint="eastAsia" w:ascii="宋体" w:hAnsi="宋体" w:eastAsia="宋体" w:cs="宋体"/>
          <w:color w:val="auto"/>
          <w:sz w:val="21"/>
          <w:szCs w:val="21"/>
          <w:highlight w:val="none"/>
          <w:u w:val="single"/>
        </w:rPr>
        <w:t>中标价10%直至解除合同</w:t>
      </w:r>
      <w:r>
        <w:rPr>
          <w:rFonts w:hint="eastAsia" w:ascii="宋体" w:hAnsi="宋体" w:eastAsia="宋体" w:cs="宋体"/>
          <w:color w:val="auto"/>
          <w:sz w:val="21"/>
          <w:szCs w:val="21"/>
          <w:highlight w:val="none"/>
        </w:rPr>
        <w:t>。</w:t>
      </w:r>
    </w:p>
    <w:p w14:paraId="623555D0">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 承包人人员</w:t>
      </w:r>
    </w:p>
    <w:p w14:paraId="7383FF39">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 承包人提交项目管理机构及施工现场管理人员安排报告的期限：接到开工通知后 7天内，向监理人报送并经发包人确认</w:t>
      </w:r>
    </w:p>
    <w:p w14:paraId="235319C6">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承包人无正当理由拒绝撤换主要施工管理人员的违约责任：</w:t>
      </w:r>
      <w:r>
        <w:rPr>
          <w:rFonts w:hint="eastAsia" w:ascii="宋体" w:hAnsi="宋体" w:eastAsia="宋体" w:cs="宋体"/>
          <w:color w:val="auto"/>
          <w:sz w:val="21"/>
          <w:szCs w:val="21"/>
          <w:highlight w:val="none"/>
          <w:u w:val="single"/>
        </w:rPr>
        <w:t>承包人拒绝更换的，发包人有权解除合同</w:t>
      </w:r>
      <w:r>
        <w:rPr>
          <w:rFonts w:hint="eastAsia" w:ascii="宋体" w:hAnsi="宋体" w:cs="宋体"/>
          <w:color w:val="auto"/>
          <w:sz w:val="21"/>
          <w:szCs w:val="21"/>
          <w:highlight w:val="none"/>
          <w:u w:val="single"/>
          <w:lang w:eastAsia="zh-CN"/>
        </w:rPr>
        <w:t>，并</w:t>
      </w:r>
      <w:r>
        <w:rPr>
          <w:rFonts w:hint="eastAsia" w:ascii="宋体" w:hAnsi="宋体" w:eastAsia="宋体" w:cs="宋体"/>
          <w:color w:val="auto"/>
          <w:sz w:val="21"/>
          <w:szCs w:val="21"/>
          <w:highlight w:val="none"/>
          <w:u w:val="single"/>
        </w:rPr>
        <w:t>追究由此带来的发包人一切损失，且承包人应承担合同价千分之二/人•次的违约金</w:t>
      </w:r>
      <w:r>
        <w:rPr>
          <w:rFonts w:hint="eastAsia" w:ascii="宋体" w:hAnsi="宋体" w:eastAsia="宋体" w:cs="宋体"/>
          <w:color w:val="auto"/>
          <w:sz w:val="21"/>
          <w:szCs w:val="21"/>
          <w:highlight w:val="none"/>
        </w:rPr>
        <w:t>。</w:t>
      </w:r>
    </w:p>
    <w:p w14:paraId="334743C1">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承包人主要施工管理人员离开施工现场的批准要求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 xml:space="preserve">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宋体" w:hAnsi="宋体" w:eastAsia="宋体" w:cs="宋体"/>
          <w:color w:val="auto"/>
          <w:sz w:val="21"/>
          <w:szCs w:val="21"/>
          <w:highlight w:val="none"/>
        </w:rPr>
        <w:t>。</w:t>
      </w:r>
    </w:p>
    <w:p w14:paraId="32654107">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 xml:space="preserve">承包人擅自更换主要施工管理人员的违约责任： </w:t>
      </w:r>
      <w:r>
        <w:rPr>
          <w:rFonts w:hint="eastAsia" w:ascii="宋体" w:hAnsi="宋体" w:eastAsia="宋体" w:cs="宋体"/>
          <w:color w:val="auto"/>
          <w:sz w:val="21"/>
          <w:szCs w:val="21"/>
          <w:highlight w:val="none"/>
          <w:u w:val="single"/>
        </w:rPr>
        <w:t xml:space="preserve">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宋体" w:hAnsi="宋体" w:eastAsia="宋体" w:cs="宋体"/>
          <w:color w:val="auto"/>
          <w:sz w:val="21"/>
          <w:szCs w:val="21"/>
          <w:highlight w:val="none"/>
        </w:rPr>
        <w:t>。</w:t>
      </w:r>
    </w:p>
    <w:p w14:paraId="1BCFFA1C">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承包人主要施工管理人员擅自离开施工现场的违约责任：</w:t>
      </w:r>
      <w:r>
        <w:rPr>
          <w:rFonts w:hint="eastAsia" w:ascii="宋体" w:hAnsi="宋体" w:eastAsia="宋体" w:cs="宋体"/>
          <w:color w:val="auto"/>
          <w:sz w:val="21"/>
          <w:szCs w:val="21"/>
          <w:highlight w:val="none"/>
          <w:u w:val="single"/>
        </w:rPr>
        <w:t xml:space="preserve"> 向发包人交纳违约金不低于合同价千分之一/人•次，如擅自离开施工现场而未参加工地例会的，向发包人</w:t>
      </w:r>
      <w:r>
        <w:rPr>
          <w:rFonts w:hint="eastAsia" w:ascii="宋体" w:hAnsi="宋体" w:eastAsia="宋体" w:cs="宋体"/>
          <w:color w:val="auto"/>
          <w:sz w:val="21"/>
          <w:szCs w:val="21"/>
          <w:highlight w:val="none"/>
          <w:u w:val="single"/>
          <w:lang w:eastAsia="zh-CN"/>
        </w:rPr>
        <w:t>缴纳</w:t>
      </w:r>
      <w:r>
        <w:rPr>
          <w:rFonts w:hint="eastAsia" w:ascii="宋体" w:hAnsi="宋体" w:eastAsia="宋体" w:cs="宋体"/>
          <w:color w:val="auto"/>
          <w:sz w:val="21"/>
          <w:szCs w:val="21"/>
          <w:highlight w:val="none"/>
          <w:u w:val="single"/>
        </w:rPr>
        <w:t>违约金不低于合同价千分之二/人•次，如月累计三次及以上的，承包人须再向发包人交纳违约金不低于合同价千分之三，同时发包人有权要求承包人更换相应管理人员，由此造成的一切损失由承包人自行承担</w:t>
      </w:r>
      <w:r>
        <w:rPr>
          <w:rFonts w:hint="eastAsia" w:ascii="宋体" w:hAnsi="宋体" w:eastAsia="宋体" w:cs="宋体"/>
          <w:color w:val="auto"/>
          <w:sz w:val="21"/>
          <w:szCs w:val="21"/>
          <w:highlight w:val="none"/>
        </w:rPr>
        <w:t>。</w:t>
      </w:r>
    </w:p>
    <w:p w14:paraId="45F30C07">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bookmarkStart w:id="98" w:name="_Toc292559364"/>
      <w:bookmarkStart w:id="99" w:name="_Toc297120459"/>
      <w:bookmarkStart w:id="100" w:name="_Toc296944498"/>
      <w:bookmarkStart w:id="101" w:name="_Toc312677988"/>
      <w:bookmarkStart w:id="102" w:name="_Toc304295523"/>
      <w:bookmarkStart w:id="103" w:name="_Toc297123492"/>
      <w:bookmarkStart w:id="104" w:name="_Toc292559869"/>
      <w:bookmarkStart w:id="105" w:name="_Toc296346660"/>
      <w:bookmarkStart w:id="106" w:name="_Toc296347158"/>
      <w:bookmarkStart w:id="107" w:name="_Toc297048345"/>
      <w:bookmarkStart w:id="108" w:name="_Toc296503159"/>
      <w:bookmarkStart w:id="109" w:name="_Toc300934945"/>
      <w:bookmarkStart w:id="110" w:name="_Toc303539102"/>
      <w:bookmarkStart w:id="111" w:name="_Toc296891199"/>
      <w:bookmarkStart w:id="112" w:name="_Toc296890987"/>
      <w:bookmarkStart w:id="113" w:name="_Toc297216151"/>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 xml:space="preserve"> 分包</w:t>
      </w:r>
    </w:p>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14:paraId="1FBAEDEA">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bookmarkStart w:id="114" w:name="_Toc297216152"/>
      <w:bookmarkStart w:id="115" w:name="_Toc292559365"/>
      <w:bookmarkStart w:id="116" w:name="_Toc296890988"/>
      <w:bookmarkStart w:id="117" w:name="_Toc296503160"/>
      <w:bookmarkStart w:id="118" w:name="_Toc296944499"/>
      <w:bookmarkStart w:id="119" w:name="_Toc292559870"/>
      <w:bookmarkStart w:id="120" w:name="_Toc297048346"/>
      <w:bookmarkStart w:id="121" w:name="_Toc296891200"/>
      <w:bookmarkStart w:id="122" w:name="_Toc297123493"/>
      <w:bookmarkStart w:id="123" w:name="_Toc303539103"/>
      <w:bookmarkStart w:id="124" w:name="_Toc296346661"/>
      <w:bookmarkStart w:id="125" w:name="_Toc300934946"/>
      <w:bookmarkStart w:id="126" w:name="_Toc297120460"/>
      <w:bookmarkStart w:id="127" w:name="_Toc296347159"/>
      <w:bookmarkStart w:id="128" w:name="_Toc304295524"/>
      <w:bookmarkStart w:id="129" w:name="_Toc312677989"/>
      <w:bookmarkStart w:id="130" w:name="_Toc318581158"/>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.1 分包的一般约定</w:t>
      </w:r>
    </w:p>
    <w:p w14:paraId="35D6C72A">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禁止分包的工程包括：</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除发包人允许分包的专业工程外，均为禁止分包的工程</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5673144E">
      <w:pPr>
        <w:pageBreakBefore w:val="0"/>
        <w:widowControl w:val="0"/>
        <w:kinsoku/>
        <w:wordWrap/>
        <w:overflowPunct/>
        <w:topLinePunct w:val="0"/>
        <w:bidi w:val="0"/>
        <w:spacing w:line="380" w:lineRule="exact"/>
        <w:ind w:left="0" w:leftChars="0" w:firstLine="420" w:firstLineChars="200"/>
        <w:jc w:val="left"/>
        <w:textAlignment w:val="auto"/>
        <w:rPr>
          <w:rFonts w:hint="default" w:ascii="宋体" w:hAnsi="宋体" w:eastAsia="宋体" w:cs="宋体"/>
          <w:color w:val="auto"/>
          <w:sz w:val="21"/>
          <w:szCs w:val="21"/>
          <w:highlight w:val="none"/>
          <w:u w:val="none"/>
          <w:lang w:val="en-US"/>
        </w:rPr>
      </w:pPr>
      <w:r>
        <w:rPr>
          <w:rFonts w:hint="eastAsia" w:ascii="宋体" w:hAnsi="宋体" w:eastAsia="宋体" w:cs="宋体"/>
          <w:color w:val="auto"/>
          <w:sz w:val="21"/>
          <w:szCs w:val="21"/>
          <w:highlight w:val="none"/>
        </w:rPr>
        <w:t>主体结构、关键性工作的范围</w:t>
      </w:r>
      <w:r>
        <w:rPr>
          <w:rFonts w:hint="eastAsia" w:ascii="宋体" w:hAnsi="宋体" w:cs="宋体"/>
          <w:color w:val="auto"/>
          <w:sz w:val="21"/>
          <w:szCs w:val="21"/>
          <w:highlight w:val="none"/>
          <w:lang w:eastAsia="zh-CN"/>
        </w:rPr>
        <w:t>：</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Start w:id="131" w:name="_Toc304295525"/>
      <w:bookmarkStart w:id="132" w:name="_Toc296890989"/>
      <w:bookmarkStart w:id="133" w:name="_Toc303539104"/>
      <w:bookmarkStart w:id="134" w:name="_Toc296347160"/>
      <w:bookmarkStart w:id="135" w:name="_Toc296891201"/>
      <w:bookmarkStart w:id="136" w:name="_Toc296944500"/>
      <w:bookmarkStart w:id="137" w:name="_Toc297048347"/>
      <w:bookmarkStart w:id="138" w:name="_Toc300934947"/>
      <w:bookmarkStart w:id="139" w:name="_Toc296346662"/>
      <w:bookmarkStart w:id="140" w:name="_Toc296503161"/>
      <w:bookmarkStart w:id="141" w:name="_Toc297120461"/>
      <w:bookmarkStart w:id="142" w:name="_Toc297216153"/>
      <w:bookmarkStart w:id="143" w:name="_Toc297123494"/>
      <w:r>
        <w:rPr>
          <w:rFonts w:hint="eastAsia" w:ascii="宋体" w:hAnsi="宋体" w:cs="宋体"/>
          <w:color w:val="auto"/>
          <w:sz w:val="21"/>
          <w:szCs w:val="21"/>
          <w:highlight w:val="none"/>
          <w:u w:val="single"/>
          <w:lang w:val="en-US" w:eastAsia="zh-CN"/>
        </w:rPr>
        <w:t xml:space="preserve"> /  </w:t>
      </w:r>
      <w:r>
        <w:rPr>
          <w:rFonts w:hint="eastAsia" w:ascii="宋体" w:hAnsi="宋体" w:cs="宋体"/>
          <w:color w:val="auto"/>
          <w:sz w:val="21"/>
          <w:szCs w:val="21"/>
          <w:highlight w:val="none"/>
          <w:u w:val="none"/>
          <w:lang w:val="en-US" w:eastAsia="zh-CN"/>
        </w:rPr>
        <w:t>。</w:t>
      </w:r>
    </w:p>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14:paraId="40E32FF4">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bookmarkStart w:id="144" w:name="_Toc312677990"/>
      <w:bookmarkStart w:id="145" w:name="_Toc318581159"/>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.2分包的确定</w:t>
      </w:r>
    </w:p>
    <w:p w14:paraId="58FED7FB">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允许分包的专业工程包括</w:t>
      </w:r>
      <w:r>
        <w:rPr>
          <w:rFonts w:hint="eastAsia" w:ascii="宋体" w:hAnsi="宋体" w:cs="宋体"/>
          <w:color w:val="auto"/>
          <w:sz w:val="21"/>
          <w:szCs w:val="21"/>
          <w:highlight w:val="none"/>
          <w:lang w:eastAsia="zh-CN"/>
        </w:rPr>
        <w:t>：</w:t>
      </w:r>
    </w:p>
    <w:p w14:paraId="42F13A0D">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其他关于分包的约定</w:t>
      </w:r>
      <w:r>
        <w:rPr>
          <w:rFonts w:hint="eastAsia" w:ascii="宋体" w:hAnsi="宋体" w:cs="宋体"/>
          <w:color w:val="auto"/>
          <w:sz w:val="21"/>
          <w:szCs w:val="21"/>
          <w:highlight w:val="none"/>
          <w:lang w:eastAsia="zh-CN"/>
        </w:rPr>
        <w:t>：</w:t>
      </w:r>
    </w:p>
    <w:p w14:paraId="4AE81E4C">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分包合同价款</w:t>
      </w:r>
    </w:p>
    <w:p w14:paraId="45B91348">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关于分包合同价款支付的约定</w:t>
      </w:r>
      <w:r>
        <w:rPr>
          <w:rFonts w:hint="eastAsia" w:ascii="宋体" w:hAnsi="宋体" w:cs="宋体"/>
          <w:color w:val="auto"/>
          <w:sz w:val="21"/>
          <w:szCs w:val="21"/>
          <w:highlight w:val="none"/>
          <w:lang w:eastAsia="zh-CN"/>
        </w:rPr>
        <w:t>：</w:t>
      </w:r>
    </w:p>
    <w:bookmarkEnd w:id="144"/>
    <w:bookmarkEnd w:id="145"/>
    <w:p w14:paraId="3253E43E">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 xml:space="preserve"> 工程照管与成品、半成品保护</w:t>
      </w:r>
    </w:p>
    <w:p w14:paraId="403493C2">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承包人负责照管工程及工程相关的材料、工程设备的起始时间：</w:t>
      </w:r>
      <w:r>
        <w:rPr>
          <w:rFonts w:hint="eastAsia" w:ascii="宋体" w:hAnsi="宋体" w:eastAsia="宋体" w:cs="宋体"/>
          <w:color w:val="auto"/>
          <w:kern w:val="0"/>
          <w:sz w:val="21"/>
          <w:szCs w:val="21"/>
          <w:highlight w:val="none"/>
          <w:u w:val="single"/>
        </w:rPr>
        <w:t xml:space="preserve">以合同签订日期与承包人进场日期先到者为起始时间  </w:t>
      </w:r>
      <w:r>
        <w:rPr>
          <w:rFonts w:hint="eastAsia" w:ascii="宋体" w:hAnsi="宋体" w:eastAsia="宋体" w:cs="宋体"/>
          <w:color w:val="auto"/>
          <w:kern w:val="0"/>
          <w:sz w:val="21"/>
          <w:szCs w:val="21"/>
          <w:highlight w:val="none"/>
        </w:rPr>
        <w:t>。</w:t>
      </w:r>
    </w:p>
    <w:p w14:paraId="18DB689A">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 xml:space="preserve"> 履约担保</w:t>
      </w:r>
    </w:p>
    <w:p w14:paraId="2F00B8BD">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承包人是否提供履约担保：</w:t>
      </w:r>
      <w:r>
        <w:rPr>
          <w:rFonts w:hint="eastAsia" w:ascii="宋体" w:hAnsi="宋体" w:eastAsia="宋体" w:cs="宋体"/>
          <w:color w:val="auto"/>
          <w:sz w:val="21"/>
          <w:szCs w:val="21"/>
          <w:highlight w:val="none"/>
          <w:u w:val="single"/>
        </w:rPr>
        <w:t xml:space="preserve">   提供    </w:t>
      </w:r>
      <w:r>
        <w:rPr>
          <w:rFonts w:hint="eastAsia" w:ascii="宋体" w:hAnsi="宋体" w:eastAsia="宋体" w:cs="宋体"/>
          <w:color w:val="auto"/>
          <w:sz w:val="21"/>
          <w:szCs w:val="21"/>
          <w:highlight w:val="none"/>
        </w:rPr>
        <w:t xml:space="preserve"> 。</w:t>
      </w:r>
    </w:p>
    <w:p w14:paraId="28E17A01">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承包人提供履约担保的形式、金额及</w:t>
      </w:r>
      <w:r>
        <w:rPr>
          <w:rFonts w:hint="eastAsia" w:ascii="宋体" w:hAnsi="宋体" w:eastAsia="宋体" w:cs="宋体"/>
          <w:color w:val="auto"/>
          <w:sz w:val="21"/>
          <w:szCs w:val="21"/>
          <w:highlight w:val="none"/>
          <w:lang w:eastAsia="zh-CN"/>
        </w:rPr>
        <w:t>期限</w:t>
      </w:r>
      <w:r>
        <w:rPr>
          <w:rFonts w:hint="eastAsia" w:ascii="宋体" w:hAnsi="宋体" w:eastAsia="宋体" w:cs="宋体"/>
          <w:color w:val="auto"/>
          <w:sz w:val="21"/>
          <w:szCs w:val="21"/>
          <w:highlight w:val="none"/>
        </w:rPr>
        <w:t>：</w:t>
      </w:r>
      <w:bookmarkStart w:id="146" w:name="_Toc351203636"/>
    </w:p>
    <w:p w14:paraId="4308C2F3">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①合同签订前</w:t>
      </w:r>
      <w:r>
        <w:rPr>
          <w:rFonts w:hint="eastAsia" w:ascii="宋体" w:hAnsi="宋体" w:eastAsia="宋体" w:cs="宋体"/>
          <w:color w:val="auto"/>
          <w:sz w:val="21"/>
          <w:szCs w:val="21"/>
          <w:highlight w:val="none"/>
        </w:rPr>
        <w:t>承包人</w:t>
      </w:r>
      <w:r>
        <w:rPr>
          <w:rFonts w:hint="eastAsia" w:ascii="宋体" w:hAnsi="宋体" w:eastAsia="宋体" w:cs="宋体"/>
          <w:color w:val="auto"/>
          <w:sz w:val="21"/>
          <w:szCs w:val="21"/>
          <w:highlight w:val="none"/>
          <w:lang w:val="en-US" w:eastAsia="zh-CN"/>
        </w:rPr>
        <w:t>向甲方缴纳合同价的</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1</w:t>
      </w:r>
      <w:bookmarkStart w:id="632" w:name="_GoBack"/>
      <w:bookmarkEnd w:id="632"/>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%为</w:t>
      </w:r>
      <w:r>
        <w:rPr>
          <w:rFonts w:hint="eastAsia" w:ascii="宋体" w:hAnsi="宋体" w:eastAsia="宋体" w:cs="宋体"/>
          <w:color w:val="auto"/>
          <w:sz w:val="21"/>
          <w:szCs w:val="21"/>
          <w:highlight w:val="none"/>
        </w:rPr>
        <w:t>本合同的履约保证金。</w:t>
      </w:r>
      <w:r>
        <w:rPr>
          <w:rFonts w:hint="eastAsia" w:ascii="宋体" w:hAnsi="宋体" w:eastAsia="宋体" w:cs="宋体"/>
          <w:color w:val="auto"/>
          <w:sz w:val="21"/>
          <w:szCs w:val="21"/>
          <w:highlight w:val="none"/>
          <w:lang w:val="en-US" w:eastAsia="zh-CN"/>
        </w:rPr>
        <w:t xml:space="preserve"> </w:t>
      </w:r>
    </w:p>
    <w:p w14:paraId="1023DCB5">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②</w:t>
      </w:r>
      <w:r>
        <w:rPr>
          <w:rFonts w:hint="eastAsia" w:ascii="宋体" w:hAnsi="宋体" w:eastAsia="宋体" w:cs="宋体"/>
          <w:color w:val="auto"/>
          <w:sz w:val="21"/>
          <w:szCs w:val="21"/>
          <w:highlight w:val="none"/>
        </w:rPr>
        <w:t>承包人提供的履约保证金可以是人民币形式（银行本票、汇票、支票、电汇），或银行保函、担保公司的保证担保或保险公司的保证保险等多种形式。</w:t>
      </w:r>
    </w:p>
    <w:p w14:paraId="58729E45">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③</w:t>
      </w:r>
      <w:r>
        <w:rPr>
          <w:rFonts w:hint="eastAsia" w:ascii="宋体" w:hAnsi="宋体" w:eastAsia="宋体" w:cs="宋体"/>
          <w:color w:val="auto"/>
          <w:sz w:val="21"/>
          <w:szCs w:val="21"/>
          <w:highlight w:val="none"/>
        </w:rPr>
        <w:t>承包人选取银行保函、担保公司的保证担保或保险公司的保证保险等</w:t>
      </w:r>
      <w:r>
        <w:rPr>
          <w:rFonts w:hint="eastAsia" w:ascii="宋体" w:hAnsi="宋体" w:cs="宋体"/>
          <w:color w:val="auto"/>
          <w:sz w:val="21"/>
          <w:szCs w:val="21"/>
          <w:highlight w:val="none"/>
          <w:lang w:eastAsia="zh-CN"/>
        </w:rPr>
        <w:t>形式</w:t>
      </w:r>
      <w:r>
        <w:rPr>
          <w:rFonts w:hint="eastAsia" w:ascii="宋体" w:hAnsi="宋体" w:eastAsia="宋体" w:cs="宋体"/>
          <w:color w:val="auto"/>
          <w:sz w:val="21"/>
          <w:szCs w:val="21"/>
          <w:highlight w:val="none"/>
        </w:rPr>
        <w:t>向采购人缴纳的，如保函（担保、保险等）的约定期到期但承包人履约仍未结束的，承包人须进行续保。</w:t>
      </w:r>
    </w:p>
    <w:p w14:paraId="0E320FBE">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④</w:t>
      </w:r>
      <w:r>
        <w:rPr>
          <w:rFonts w:hint="eastAsia" w:ascii="宋体" w:hAnsi="宋体" w:eastAsia="宋体" w:cs="宋体"/>
          <w:color w:val="auto"/>
          <w:sz w:val="21"/>
          <w:szCs w:val="21"/>
          <w:highlight w:val="none"/>
        </w:rPr>
        <w:t>如</w:t>
      </w:r>
      <w:r>
        <w:rPr>
          <w:rFonts w:hint="eastAsia" w:ascii="宋体" w:hAnsi="宋体" w:eastAsia="宋体" w:cs="宋体"/>
          <w:color w:val="auto"/>
          <w:sz w:val="21"/>
          <w:szCs w:val="21"/>
          <w:highlight w:val="none"/>
          <w:lang w:val="en-US" w:eastAsia="zh-CN"/>
        </w:rPr>
        <w:t>承包人</w:t>
      </w:r>
      <w:r>
        <w:rPr>
          <w:rFonts w:hint="eastAsia" w:ascii="宋体" w:hAnsi="宋体" w:eastAsia="宋体" w:cs="宋体"/>
          <w:color w:val="auto"/>
          <w:sz w:val="21"/>
          <w:szCs w:val="21"/>
          <w:highlight w:val="none"/>
        </w:rPr>
        <w:t>未能履行合同规定的义务，</w:t>
      </w:r>
      <w:r>
        <w:rPr>
          <w:rFonts w:hint="eastAsia" w:ascii="宋体" w:hAnsi="宋体" w:eastAsia="宋体" w:cs="宋体"/>
          <w:color w:val="auto"/>
          <w:sz w:val="21"/>
          <w:szCs w:val="21"/>
          <w:highlight w:val="none"/>
          <w:lang w:val="en-US" w:eastAsia="zh-CN"/>
        </w:rPr>
        <w:t>发包</w:t>
      </w:r>
      <w:r>
        <w:rPr>
          <w:rFonts w:hint="eastAsia" w:ascii="宋体" w:hAnsi="宋体" w:eastAsia="宋体" w:cs="宋体"/>
          <w:color w:val="auto"/>
          <w:sz w:val="21"/>
          <w:szCs w:val="21"/>
          <w:highlight w:val="none"/>
        </w:rPr>
        <w:t>人有权从履约保证金中取得补偿。</w:t>
      </w:r>
    </w:p>
    <w:p w14:paraId="61C4DCAF">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⑤</w:t>
      </w:r>
      <w:r>
        <w:rPr>
          <w:rFonts w:hint="eastAsia" w:ascii="宋体" w:hAnsi="宋体" w:eastAsia="宋体" w:cs="宋体"/>
          <w:color w:val="auto"/>
          <w:sz w:val="21"/>
          <w:szCs w:val="21"/>
          <w:highlight w:val="none"/>
        </w:rPr>
        <w:t>履约保证金在合同约定期间内不予退还或者应完全有效，约定期间届满之日起 5个工作日内，</w:t>
      </w:r>
      <w:r>
        <w:rPr>
          <w:rFonts w:hint="eastAsia" w:ascii="宋体" w:hAnsi="宋体" w:eastAsia="宋体" w:cs="宋体"/>
          <w:color w:val="auto"/>
          <w:sz w:val="21"/>
          <w:szCs w:val="21"/>
          <w:highlight w:val="none"/>
          <w:lang w:val="en-US" w:eastAsia="zh-CN"/>
        </w:rPr>
        <w:t>发包</w:t>
      </w:r>
      <w:r>
        <w:rPr>
          <w:rFonts w:hint="eastAsia" w:ascii="宋体" w:hAnsi="宋体" w:eastAsia="宋体" w:cs="宋体"/>
          <w:color w:val="auto"/>
          <w:sz w:val="21"/>
          <w:szCs w:val="21"/>
          <w:highlight w:val="none"/>
        </w:rPr>
        <w:t>人应将履约保证金退还</w:t>
      </w:r>
      <w:r>
        <w:rPr>
          <w:rFonts w:hint="eastAsia" w:ascii="宋体" w:hAnsi="宋体" w:eastAsia="宋体" w:cs="宋体"/>
          <w:color w:val="auto"/>
          <w:sz w:val="21"/>
          <w:szCs w:val="21"/>
          <w:highlight w:val="none"/>
          <w:lang w:val="en-US" w:eastAsia="zh-CN"/>
        </w:rPr>
        <w:t>承包人</w:t>
      </w:r>
      <w:r>
        <w:rPr>
          <w:rFonts w:hint="eastAsia" w:ascii="宋体" w:hAnsi="宋体" w:eastAsia="宋体" w:cs="宋体"/>
          <w:color w:val="auto"/>
          <w:sz w:val="21"/>
          <w:szCs w:val="21"/>
          <w:highlight w:val="none"/>
        </w:rPr>
        <w:t>；逾期退还的，按中国人民银行同期贷款</w:t>
      </w:r>
      <w:r>
        <w:rPr>
          <w:rFonts w:hint="eastAsia" w:ascii="宋体" w:hAnsi="宋体" w:eastAsia="宋体" w:cs="宋体"/>
          <w:color w:val="auto"/>
          <w:sz w:val="21"/>
          <w:szCs w:val="21"/>
          <w:highlight w:val="none"/>
          <w:lang w:eastAsia="zh-CN"/>
        </w:rPr>
        <w:t>基准利率</w:t>
      </w:r>
      <w:r>
        <w:rPr>
          <w:rFonts w:hint="eastAsia" w:ascii="宋体" w:hAnsi="宋体" w:eastAsia="宋体" w:cs="宋体"/>
          <w:color w:val="auto"/>
          <w:sz w:val="21"/>
          <w:szCs w:val="21"/>
          <w:highlight w:val="none"/>
        </w:rPr>
        <w:t>上浮20%后的利率支付超期资金占用费，但因</w:t>
      </w:r>
      <w:r>
        <w:rPr>
          <w:rFonts w:hint="eastAsia" w:ascii="宋体" w:hAnsi="宋体" w:eastAsia="宋体" w:cs="宋体"/>
          <w:color w:val="auto"/>
          <w:sz w:val="21"/>
          <w:szCs w:val="21"/>
          <w:highlight w:val="none"/>
          <w:lang w:val="en-US" w:eastAsia="zh-CN"/>
        </w:rPr>
        <w:t>承包人</w:t>
      </w:r>
      <w:r>
        <w:rPr>
          <w:rFonts w:hint="eastAsia" w:ascii="宋体" w:hAnsi="宋体" w:eastAsia="宋体" w:cs="宋体"/>
          <w:color w:val="auto"/>
          <w:sz w:val="21"/>
          <w:szCs w:val="21"/>
          <w:highlight w:val="none"/>
        </w:rPr>
        <w:t>自身原因导致无法及时退还的除外。</w:t>
      </w:r>
      <w:r>
        <w:rPr>
          <w:rFonts w:hint="eastAsia" w:ascii="宋体" w:hAnsi="宋体" w:eastAsia="宋体" w:cs="宋体"/>
          <w:color w:val="auto"/>
          <w:sz w:val="21"/>
          <w:szCs w:val="21"/>
          <w:highlight w:val="none"/>
        </w:rPr>
        <w:cr/>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⑥</w:t>
      </w:r>
      <w:r>
        <w:rPr>
          <w:rFonts w:hint="eastAsia" w:ascii="宋体" w:hAnsi="宋体" w:eastAsia="宋体" w:cs="宋体"/>
          <w:color w:val="auto"/>
          <w:sz w:val="21"/>
          <w:szCs w:val="21"/>
          <w:highlight w:val="none"/>
        </w:rPr>
        <w:t>履约保证金在合同约定期间内不予退还</w:t>
      </w:r>
      <w:r>
        <w:rPr>
          <w:rFonts w:hint="eastAsia" w:ascii="宋体" w:hAnsi="宋体" w:eastAsia="宋体" w:cs="宋体"/>
          <w:color w:val="auto"/>
          <w:sz w:val="21"/>
          <w:szCs w:val="21"/>
          <w:highlight w:val="none"/>
          <w:lang w:eastAsia="zh-CN"/>
        </w:rPr>
        <w:t>或者</w:t>
      </w:r>
      <w:r>
        <w:rPr>
          <w:rFonts w:hint="eastAsia" w:ascii="宋体" w:hAnsi="宋体" w:eastAsia="宋体" w:cs="宋体"/>
          <w:color w:val="auto"/>
          <w:sz w:val="21"/>
          <w:szCs w:val="21"/>
          <w:highlight w:val="none"/>
        </w:rPr>
        <w:t>完全有效，履约保证金在项目验收合格后无息退还给</w:t>
      </w:r>
      <w:r>
        <w:rPr>
          <w:rFonts w:hint="eastAsia" w:ascii="宋体" w:hAnsi="宋体" w:eastAsia="宋体" w:cs="宋体"/>
          <w:color w:val="auto"/>
          <w:sz w:val="21"/>
          <w:szCs w:val="21"/>
          <w:highlight w:val="none"/>
          <w:lang w:val="en-US" w:eastAsia="zh-CN"/>
        </w:rPr>
        <w:t>承包人</w:t>
      </w:r>
      <w:r>
        <w:rPr>
          <w:rFonts w:hint="eastAsia" w:ascii="宋体" w:hAnsi="宋体" w:eastAsia="宋体" w:cs="宋体"/>
          <w:color w:val="auto"/>
          <w:sz w:val="21"/>
          <w:szCs w:val="21"/>
          <w:highlight w:val="none"/>
        </w:rPr>
        <w:t>。</w:t>
      </w:r>
    </w:p>
    <w:p w14:paraId="0037E33F">
      <w:pPr>
        <w:pageBreakBefore w:val="0"/>
        <w:widowControl w:val="0"/>
        <w:kinsoku/>
        <w:wordWrap/>
        <w:overflowPunct/>
        <w:topLinePunct w:val="0"/>
        <w:bidi w:val="0"/>
        <w:spacing w:line="380" w:lineRule="exact"/>
        <w:ind w:left="0" w:leftChars="0" w:firstLine="422" w:firstLineChars="200"/>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4</w:t>
      </w:r>
      <w:bookmarkStart w:id="147" w:name="_Toc296891202"/>
      <w:bookmarkStart w:id="148" w:name="_Toc267251413"/>
      <w:bookmarkStart w:id="149" w:name="_Toc296944501"/>
      <w:bookmarkStart w:id="150" w:name="_Toc292559871"/>
      <w:bookmarkStart w:id="151" w:name="_Toc297120462"/>
      <w:bookmarkStart w:id="152" w:name="_Toc292559366"/>
      <w:bookmarkStart w:id="153" w:name="_Toc296890990"/>
      <w:bookmarkStart w:id="154" w:name="_Toc296503162"/>
      <w:bookmarkStart w:id="155" w:name="_Toc296346663"/>
      <w:bookmarkStart w:id="156" w:name="_Toc297048348"/>
      <w:bookmarkStart w:id="157" w:name="_Toc296347161"/>
      <w:r>
        <w:rPr>
          <w:rFonts w:hint="eastAsia" w:ascii="宋体" w:hAnsi="宋体" w:eastAsia="宋体" w:cs="宋体"/>
          <w:b/>
          <w:bCs/>
          <w:color w:val="auto"/>
          <w:sz w:val="21"/>
          <w:szCs w:val="21"/>
          <w:highlight w:val="none"/>
          <w:lang w:eastAsia="zh-CN"/>
        </w:rPr>
        <w:t>. 监</w:t>
      </w:r>
      <w:bookmarkEnd w:id="147"/>
      <w:bookmarkEnd w:id="148"/>
      <w:bookmarkEnd w:id="149"/>
      <w:bookmarkEnd w:id="150"/>
      <w:bookmarkEnd w:id="151"/>
      <w:bookmarkEnd w:id="152"/>
      <w:bookmarkEnd w:id="153"/>
      <w:bookmarkEnd w:id="154"/>
      <w:bookmarkEnd w:id="155"/>
      <w:bookmarkEnd w:id="156"/>
      <w:bookmarkEnd w:id="157"/>
      <w:r>
        <w:rPr>
          <w:rFonts w:hint="eastAsia" w:ascii="宋体" w:hAnsi="宋体" w:eastAsia="宋体" w:cs="宋体"/>
          <w:b/>
          <w:bCs/>
          <w:color w:val="auto"/>
          <w:sz w:val="21"/>
          <w:szCs w:val="21"/>
          <w:highlight w:val="none"/>
          <w:lang w:eastAsia="zh-CN"/>
        </w:rPr>
        <w:t>理人</w:t>
      </w:r>
      <w:bookmarkEnd w:id="146"/>
    </w:p>
    <w:p w14:paraId="34DE4F4E">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4.1监理人的一般规定</w:t>
      </w:r>
    </w:p>
    <w:p w14:paraId="04EF4548">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关于监理人的监理内容：</w:t>
      </w:r>
      <w:r>
        <w:rPr>
          <w:rFonts w:hint="eastAsia" w:ascii="宋体" w:hAnsi="宋体" w:eastAsia="宋体" w:cs="宋体"/>
          <w:color w:val="auto"/>
          <w:sz w:val="21"/>
          <w:szCs w:val="21"/>
          <w:highlight w:val="none"/>
          <w:u w:val="single"/>
        </w:rPr>
        <w:t xml:space="preserve">按监理规范的有关规定执行，包括但不限于四控两管一协调，即对工程进行进度、质量、投资、安全四控制，合同管理、信息管理，监督安全生产，协调施工现场各方面关系等，具体监理工作内容见监理合同   </w:t>
      </w:r>
      <w:r>
        <w:rPr>
          <w:rFonts w:hint="eastAsia" w:ascii="宋体" w:hAnsi="宋体" w:eastAsia="宋体" w:cs="宋体"/>
          <w:color w:val="auto"/>
          <w:sz w:val="21"/>
          <w:szCs w:val="21"/>
          <w:highlight w:val="none"/>
        </w:rPr>
        <w:t>。</w:t>
      </w:r>
    </w:p>
    <w:p w14:paraId="47D96200">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关于监理人的监理权限：</w:t>
      </w:r>
      <w:r>
        <w:rPr>
          <w:rFonts w:hint="eastAsia" w:ascii="宋体" w:hAnsi="宋体" w:eastAsia="宋体" w:cs="宋体"/>
          <w:color w:val="auto"/>
          <w:sz w:val="21"/>
          <w:szCs w:val="21"/>
          <w:highlight w:val="none"/>
          <w:u w:val="single"/>
        </w:rPr>
        <w:t>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w:t>
      </w:r>
      <w:r>
        <w:rPr>
          <w:rFonts w:hint="eastAsia" w:ascii="宋体" w:hAnsi="宋体" w:eastAsia="宋体" w:cs="宋体"/>
          <w:color w:val="auto"/>
          <w:sz w:val="21"/>
          <w:szCs w:val="21"/>
          <w:highlight w:val="none"/>
        </w:rPr>
        <w:t xml:space="preserve">。 </w:t>
      </w:r>
    </w:p>
    <w:p w14:paraId="4506CA99">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关于监理人在施工现场的办公场所、生活场所的提供和费用承担的约定：</w:t>
      </w:r>
      <w:r>
        <w:rPr>
          <w:rFonts w:hint="eastAsia" w:ascii="宋体" w:hAnsi="宋体" w:eastAsia="宋体" w:cs="宋体"/>
          <w:color w:val="auto"/>
          <w:sz w:val="21"/>
          <w:szCs w:val="21"/>
          <w:highlight w:val="none"/>
          <w:u w:val="single"/>
        </w:rPr>
        <w:t xml:space="preserve">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 </w:t>
      </w:r>
      <w:r>
        <w:rPr>
          <w:rFonts w:hint="eastAsia" w:ascii="宋体" w:hAnsi="宋体" w:eastAsia="宋体" w:cs="宋体"/>
          <w:color w:val="auto"/>
          <w:sz w:val="21"/>
          <w:szCs w:val="21"/>
          <w:highlight w:val="none"/>
        </w:rPr>
        <w:t>。</w:t>
      </w:r>
    </w:p>
    <w:p w14:paraId="3FC6621F">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 监理人员</w:t>
      </w:r>
    </w:p>
    <w:p w14:paraId="147FF769">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w:t>
      </w:r>
    </w:p>
    <w:p w14:paraId="522A5601">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lang w:eastAsia="zh-CN"/>
        </w:rPr>
        <w:t>：</w:t>
      </w:r>
    </w:p>
    <w:p w14:paraId="673C0582">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sz w:val="21"/>
          <w:szCs w:val="21"/>
          <w:highlight w:val="none"/>
          <w:lang w:eastAsia="zh-CN"/>
        </w:rPr>
        <w:t>：</w:t>
      </w:r>
    </w:p>
    <w:p w14:paraId="4C076508">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监理工程师执业资格证书号</w:t>
      </w:r>
      <w:r>
        <w:rPr>
          <w:rFonts w:hint="eastAsia" w:ascii="宋体" w:hAnsi="宋体" w:eastAsia="宋体" w:cs="宋体"/>
          <w:color w:val="auto"/>
          <w:sz w:val="21"/>
          <w:szCs w:val="21"/>
          <w:highlight w:val="none"/>
          <w:lang w:eastAsia="zh-CN"/>
        </w:rPr>
        <w:t>：</w:t>
      </w:r>
    </w:p>
    <w:p w14:paraId="002D2AE7">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lang w:eastAsia="zh-CN"/>
        </w:rPr>
        <w:t>：</w:t>
      </w:r>
    </w:p>
    <w:p w14:paraId="6A1EE5EB">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lang w:eastAsia="zh-CN"/>
        </w:rPr>
        <w:t>：</w:t>
      </w:r>
    </w:p>
    <w:p w14:paraId="2A9AB2E9">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lang w:eastAsia="zh-CN"/>
        </w:rPr>
        <w:t>：</w:t>
      </w:r>
    </w:p>
    <w:p w14:paraId="1F9E58E5">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关于监理人的其他约定</w:t>
      </w:r>
      <w:r>
        <w:rPr>
          <w:rFonts w:hint="eastAsia" w:ascii="宋体" w:hAnsi="宋体" w:eastAsia="宋体" w:cs="宋体"/>
          <w:color w:val="auto"/>
          <w:sz w:val="21"/>
          <w:szCs w:val="21"/>
          <w:highlight w:val="none"/>
          <w:lang w:eastAsia="zh-CN"/>
        </w:rPr>
        <w:t>：</w:t>
      </w:r>
    </w:p>
    <w:p w14:paraId="577EA5E9">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商定或确定</w:t>
      </w:r>
    </w:p>
    <w:p w14:paraId="6244FF62">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bookmarkStart w:id="158" w:name="_Toc267251418"/>
      <w:r>
        <w:rPr>
          <w:rFonts w:hint="eastAsia" w:ascii="宋体" w:hAnsi="宋体" w:eastAsia="宋体" w:cs="宋体"/>
          <w:color w:val="auto"/>
          <w:sz w:val="21"/>
          <w:szCs w:val="21"/>
          <w:highlight w:val="none"/>
        </w:rPr>
        <w:t>在发包人和承包人不能通过协商达成一致意见时，发包人授权监理人对以下事项进行确定：</w:t>
      </w:r>
    </w:p>
    <w:p w14:paraId="70CBDE29">
      <w:pPr>
        <w:pageBreakBefore w:val="0"/>
        <w:widowControl w:val="0"/>
        <w:kinsoku/>
        <w:wordWrap/>
        <w:overflowPunct/>
        <w:topLinePunct w:val="0"/>
        <w:autoSpaceDE w:val="0"/>
        <w:autoSpaceDN w:val="0"/>
        <w:bidi w:val="0"/>
        <w:adjustRightInd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lang w:eastAsia="zh-CN"/>
        </w:rPr>
        <w:t>)/</w:t>
      </w:r>
    </w:p>
    <w:p w14:paraId="23861784">
      <w:pPr>
        <w:pageBreakBefore w:val="0"/>
        <w:widowControl w:val="0"/>
        <w:kinsoku/>
        <w:wordWrap/>
        <w:overflowPunct/>
        <w:topLinePunct w:val="0"/>
        <w:autoSpaceDE w:val="0"/>
        <w:autoSpaceDN w:val="0"/>
        <w:bidi w:val="0"/>
        <w:adjustRightInd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lang w:eastAsia="zh-CN"/>
        </w:rPr>
        <w:t>)/</w:t>
      </w:r>
    </w:p>
    <w:p w14:paraId="5B577F99">
      <w:pPr>
        <w:pageBreakBefore w:val="0"/>
        <w:widowControl w:val="0"/>
        <w:kinsoku/>
        <w:wordWrap/>
        <w:overflowPunct/>
        <w:topLinePunct w:val="0"/>
        <w:autoSpaceDE w:val="0"/>
        <w:autoSpaceDN w:val="0"/>
        <w:bidi w:val="0"/>
        <w:adjustRightInd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lang w:eastAsia="zh-CN"/>
        </w:rPr>
        <w:t>)/</w:t>
      </w:r>
    </w:p>
    <w:p w14:paraId="20D9CDB4">
      <w:pPr>
        <w:pStyle w:val="2"/>
        <w:pageBreakBefore w:val="0"/>
        <w:widowControl w:val="0"/>
        <w:kinsoku/>
        <w:wordWrap/>
        <w:overflowPunct/>
        <w:topLinePunct w:val="0"/>
        <w:bidi w:val="0"/>
        <w:spacing w:line="380" w:lineRule="exact"/>
        <w:ind w:left="0" w:leftChars="0" w:firstLine="422" w:firstLineChars="200"/>
        <w:textAlignment w:val="auto"/>
        <w:rPr>
          <w:rFonts w:hint="eastAsia" w:ascii="宋体" w:hAnsi="宋体" w:eastAsia="宋体" w:cs="宋体"/>
          <w:color w:val="auto"/>
          <w:sz w:val="21"/>
          <w:szCs w:val="21"/>
          <w:highlight w:val="none"/>
          <w:lang w:eastAsia="zh-CN"/>
        </w:rPr>
      </w:pPr>
      <w:bookmarkStart w:id="159" w:name="_Toc351203637"/>
      <w:r>
        <w:rPr>
          <w:rFonts w:hint="eastAsia" w:ascii="宋体" w:hAnsi="宋体" w:eastAsia="宋体" w:cs="宋体"/>
          <w:color w:val="auto"/>
          <w:sz w:val="21"/>
          <w:szCs w:val="21"/>
          <w:highlight w:val="none"/>
          <w:lang w:eastAsia="zh-CN"/>
        </w:rPr>
        <w:t>5</w:t>
      </w:r>
      <w:bookmarkEnd w:id="158"/>
      <w:bookmarkStart w:id="160" w:name="_Toc296944502"/>
      <w:bookmarkStart w:id="161" w:name="_Toc297120463"/>
      <w:bookmarkStart w:id="162" w:name="_Toc296346664"/>
      <w:bookmarkStart w:id="163" w:name="_Toc297048349"/>
      <w:bookmarkStart w:id="164" w:name="_Toc292559872"/>
      <w:bookmarkStart w:id="165" w:name="_Toc296503163"/>
      <w:bookmarkStart w:id="166" w:name="_Toc296347162"/>
      <w:bookmarkStart w:id="167" w:name="_Toc296890991"/>
      <w:bookmarkStart w:id="168" w:name="_Toc292559367"/>
      <w:bookmarkStart w:id="169" w:name="_Toc296891203"/>
      <w:r>
        <w:rPr>
          <w:rFonts w:hint="eastAsia" w:ascii="宋体" w:hAnsi="宋体" w:eastAsia="宋体" w:cs="宋体"/>
          <w:color w:val="auto"/>
          <w:sz w:val="21"/>
          <w:szCs w:val="21"/>
          <w:highlight w:val="none"/>
          <w:lang w:eastAsia="zh-CN"/>
        </w:rPr>
        <w:t>. 工程质量</w:t>
      </w:r>
      <w:bookmarkEnd w:id="159"/>
    </w:p>
    <w:p w14:paraId="0CBB536D">
      <w:pPr>
        <w:pageBreakBefore w:val="0"/>
        <w:widowControl w:val="0"/>
        <w:kinsoku/>
        <w:wordWrap/>
        <w:overflowPunct/>
        <w:topLinePunct w:val="0"/>
        <w:bidi w:val="0"/>
        <w:spacing w:line="380" w:lineRule="exact"/>
        <w:ind w:left="0" w:leftChars="0" w:firstLine="420" w:firstLineChars="200"/>
        <w:textAlignment w:val="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质量要求</w:t>
      </w:r>
    </w:p>
    <w:p w14:paraId="7CDF1687">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bookmarkStart w:id="170" w:name="_Toc297123496"/>
      <w:bookmarkStart w:id="171" w:name="_Toc304295527"/>
      <w:bookmarkStart w:id="172" w:name="_Toc297216155"/>
      <w:bookmarkStart w:id="173" w:name="_Toc300934949"/>
      <w:bookmarkStart w:id="174" w:name="_Toc303539106"/>
      <w:bookmarkStart w:id="175" w:name="_Toc312677997"/>
      <w:bookmarkStart w:id="176" w:name="_Toc318581164"/>
      <w:r>
        <w:rPr>
          <w:rFonts w:hint="eastAsia" w:ascii="宋体" w:hAnsi="宋体" w:eastAsia="宋体" w:cs="宋体"/>
          <w:color w:val="auto"/>
          <w:sz w:val="21"/>
          <w:szCs w:val="21"/>
          <w:highlight w:val="none"/>
        </w:rPr>
        <w:t>.1.1 特殊质量标准和要求：</w:t>
      </w:r>
      <w:r>
        <w:rPr>
          <w:rFonts w:hint="eastAsia" w:ascii="宋体" w:hAnsi="宋体" w:eastAsia="宋体" w:cs="宋体"/>
          <w:color w:val="auto"/>
          <w:sz w:val="21"/>
          <w:szCs w:val="21"/>
          <w:highlight w:val="none"/>
          <w:u w:val="single"/>
        </w:rPr>
        <w:t xml:space="preserve"> 满足相关部门的验收标准</w:t>
      </w:r>
      <w:r>
        <w:rPr>
          <w:rFonts w:hint="eastAsia" w:ascii="宋体" w:hAnsi="宋体" w:eastAsia="宋体" w:cs="宋体"/>
          <w:color w:val="auto"/>
          <w:sz w:val="21"/>
          <w:szCs w:val="21"/>
          <w:highlight w:val="none"/>
        </w:rPr>
        <w:t>。</w:t>
      </w:r>
    </w:p>
    <w:p w14:paraId="54C86647">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关于工程奖项的约定</w:t>
      </w:r>
      <w:r>
        <w:rPr>
          <w:rFonts w:hint="eastAsia" w:ascii="宋体" w:hAnsi="宋体" w:eastAsia="宋体" w:cs="宋体"/>
          <w:color w:val="auto"/>
          <w:sz w:val="21"/>
          <w:szCs w:val="21"/>
          <w:highlight w:val="none"/>
          <w:lang w:eastAsia="zh-CN"/>
        </w:rPr>
        <w:t>：</w:t>
      </w:r>
    </w:p>
    <w:p w14:paraId="36E3B9EB">
      <w:pPr>
        <w:pageBreakBefore w:val="0"/>
        <w:widowControl w:val="0"/>
        <w:kinsoku/>
        <w:wordWrap/>
        <w:overflowPunct/>
        <w:topLinePunct w:val="0"/>
        <w:bidi w:val="0"/>
        <w:spacing w:line="380" w:lineRule="exact"/>
        <w:ind w:left="0" w:leftChars="0" w:firstLine="420" w:firstLineChars="200"/>
        <w:textAlignment w:val="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隐蔽工程检查</w:t>
      </w:r>
    </w:p>
    <w:p w14:paraId="7A9B4CFE">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.2承包人提前通知监理人隐蔽工程检查的期限的约定：</w:t>
      </w:r>
      <w:r>
        <w:rPr>
          <w:rFonts w:hint="eastAsia" w:ascii="宋体" w:hAnsi="宋体" w:eastAsia="宋体" w:cs="宋体"/>
          <w:color w:val="auto"/>
          <w:sz w:val="21"/>
          <w:szCs w:val="21"/>
          <w:highlight w:val="none"/>
          <w:u w:val="single"/>
        </w:rPr>
        <w:t xml:space="preserve"> 承包人应在检查前48小时以书面形式通知监理人检查</w:t>
      </w:r>
      <w:r>
        <w:rPr>
          <w:rFonts w:hint="eastAsia" w:ascii="宋体" w:hAnsi="宋体" w:eastAsia="宋体" w:cs="宋体"/>
          <w:color w:val="auto"/>
          <w:sz w:val="21"/>
          <w:szCs w:val="21"/>
          <w:highlight w:val="none"/>
        </w:rPr>
        <w:t>。</w:t>
      </w:r>
    </w:p>
    <w:p w14:paraId="1A4122B1">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监理人不能按时进行检查时，应提前</w:t>
      </w:r>
      <w:r>
        <w:rPr>
          <w:rFonts w:hint="eastAsia" w:ascii="宋体" w:hAnsi="宋体" w:eastAsia="宋体" w:cs="宋体"/>
          <w:color w:val="auto"/>
          <w:sz w:val="21"/>
          <w:szCs w:val="21"/>
          <w:highlight w:val="none"/>
          <w:lang w:val="en-US" w:eastAsia="zh-CN"/>
        </w:rPr>
        <w:t>24</w:t>
      </w:r>
      <w:r>
        <w:rPr>
          <w:rFonts w:hint="eastAsia" w:ascii="宋体" w:hAnsi="宋体" w:eastAsia="宋体" w:cs="宋体"/>
          <w:color w:val="auto"/>
          <w:sz w:val="21"/>
          <w:szCs w:val="21"/>
          <w:highlight w:val="none"/>
        </w:rPr>
        <w:t>小时提交书面延期要求。</w:t>
      </w:r>
    </w:p>
    <w:p w14:paraId="3CA2898C">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lang w:val="en-US" w:eastAsia="zh-CN"/>
        </w:rPr>
        <w:t>48</w:t>
      </w:r>
      <w:r>
        <w:rPr>
          <w:rFonts w:hint="eastAsia" w:ascii="宋体" w:hAnsi="宋体" w:eastAsia="宋体" w:cs="宋体"/>
          <w:color w:val="auto"/>
          <w:sz w:val="21"/>
          <w:szCs w:val="21"/>
          <w:highlight w:val="none"/>
        </w:rPr>
        <w:t>小时。</w:t>
      </w:r>
    </w:p>
    <w:p w14:paraId="4CF81071">
      <w:pPr>
        <w:pStyle w:val="2"/>
        <w:pageBreakBefore w:val="0"/>
        <w:widowControl w:val="0"/>
        <w:kinsoku/>
        <w:wordWrap/>
        <w:overflowPunct/>
        <w:topLinePunct w:val="0"/>
        <w:bidi w:val="0"/>
        <w:spacing w:line="380" w:lineRule="exact"/>
        <w:ind w:left="0" w:leftChars="0" w:firstLine="422" w:firstLineChars="200"/>
        <w:textAlignment w:val="auto"/>
        <w:rPr>
          <w:rFonts w:hint="eastAsia" w:ascii="宋体" w:hAnsi="宋体" w:eastAsia="宋体" w:cs="宋体"/>
          <w:color w:val="auto"/>
          <w:sz w:val="21"/>
          <w:szCs w:val="21"/>
          <w:highlight w:val="none"/>
          <w:lang w:eastAsia="zh-CN"/>
        </w:rPr>
      </w:pPr>
      <w:bookmarkStart w:id="177" w:name="_Toc351203638"/>
      <w:r>
        <w:rPr>
          <w:rFonts w:hint="eastAsia" w:ascii="宋体" w:hAnsi="宋体" w:eastAsia="宋体" w:cs="宋体"/>
          <w:color w:val="auto"/>
          <w:sz w:val="21"/>
          <w:szCs w:val="21"/>
          <w:highlight w:val="none"/>
          <w:lang w:eastAsia="zh-CN"/>
        </w:rPr>
        <w:t>6. 安全文明施工与环境保护</w:t>
      </w:r>
      <w:bookmarkEnd w:id="177"/>
    </w:p>
    <w:p w14:paraId="12179F35">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6.1安全文明施工</w:t>
      </w:r>
    </w:p>
    <w:p w14:paraId="24BF1330">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 项目安全生产的达标目标及相应事项的约定：</w:t>
      </w:r>
      <w:r>
        <w:rPr>
          <w:rFonts w:hint="eastAsia" w:ascii="宋体" w:hAnsi="宋体" w:eastAsia="宋体" w:cs="宋体"/>
          <w:color w:val="auto"/>
          <w:sz w:val="21"/>
          <w:szCs w:val="21"/>
          <w:highlight w:val="none"/>
          <w:u w:val="single"/>
        </w:rPr>
        <w:t>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w:t>
      </w:r>
      <w:r>
        <w:rPr>
          <w:rFonts w:hint="eastAsia" w:ascii="宋体" w:hAnsi="宋体" w:eastAsia="宋体" w:cs="宋体"/>
          <w:color w:val="auto"/>
          <w:sz w:val="21"/>
          <w:szCs w:val="21"/>
          <w:highlight w:val="none"/>
          <w:u w:val="single"/>
          <w:lang w:eastAsia="zh-CN"/>
        </w:rPr>
        <w:t>用包</w:t>
      </w:r>
      <w:r>
        <w:rPr>
          <w:rFonts w:hint="eastAsia" w:ascii="宋体" w:hAnsi="宋体" w:eastAsia="宋体" w:cs="宋体"/>
          <w:color w:val="auto"/>
          <w:sz w:val="21"/>
          <w:szCs w:val="21"/>
          <w:highlight w:val="none"/>
          <w:u w:val="single"/>
        </w:rPr>
        <w:t>含在安全文明施工费中。承包人负责施工现场的安全及第三方的人身安全 ，承包人应当遵守工程建设安全生产有关管理规定，严格</w:t>
      </w:r>
      <w:r>
        <w:rPr>
          <w:rFonts w:hint="eastAsia" w:ascii="宋体" w:hAnsi="宋体" w:eastAsia="宋体" w:cs="宋体"/>
          <w:color w:val="auto"/>
          <w:sz w:val="21"/>
          <w:szCs w:val="21"/>
          <w:highlight w:val="none"/>
          <w:u w:val="single"/>
          <w:lang w:eastAsia="zh-CN"/>
        </w:rPr>
        <w:t>按照</w:t>
      </w:r>
      <w:r>
        <w:rPr>
          <w:rFonts w:hint="eastAsia" w:ascii="宋体" w:hAnsi="宋体" w:eastAsia="宋体" w:cs="宋体"/>
          <w:color w:val="auto"/>
          <w:sz w:val="21"/>
          <w:szCs w:val="21"/>
          <w:highlight w:val="none"/>
          <w:u w:val="single"/>
        </w:rPr>
        <w:t xml:space="preserve">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合同附件《建设工程承发包安全管理协议》中的有关要求，注重安全保障、安全教育，确保人员安全；承包人须制定各种切实有效、可行的规章制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hint="eastAsia" w:ascii="宋体" w:hAnsi="宋体" w:eastAsia="宋体" w:cs="宋体"/>
          <w:color w:val="auto"/>
          <w:sz w:val="21"/>
          <w:szCs w:val="21"/>
          <w:highlight w:val="none"/>
        </w:rPr>
        <w:t>。</w:t>
      </w:r>
    </w:p>
    <w:p w14:paraId="79BB031C">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6.1.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关于治安保卫的特别约定：</w:t>
      </w:r>
      <w:r>
        <w:rPr>
          <w:rFonts w:hint="eastAsia" w:ascii="宋体" w:hAnsi="宋体" w:eastAsia="宋体" w:cs="宋体"/>
          <w:color w:val="auto"/>
          <w:sz w:val="21"/>
          <w:szCs w:val="21"/>
          <w:highlight w:val="none"/>
          <w:u w:val="single"/>
        </w:rPr>
        <w:t>承包人负责施工现场全周期的治安保卫管理工作，建立现场治安保卫管理制度和值班巡逻机制，配备专职治安保卫人员，明确岗位职责，确保施工现场人员、物资、设备的财产安全和人身安全，防范盗窃、斗殴、破坏等治安事件发生。</w:t>
      </w:r>
    </w:p>
    <w:p w14:paraId="41F353E2">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承包人须对施工现场作业人员进行治安安全教育，登记作业人员身份信息，留存有效身份证明复印件备案，严禁无关人员进入施工现场；施工现场出入口设置门禁管理，对进出人员、车辆进行登记核查。</w:t>
      </w:r>
    </w:p>
    <w:p w14:paraId="369A2876">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承包人负责妥善保管施工现场的材料、设备、机具等物资，对贵重物品、易燃易爆品采取专项防盗、防破坏防护措施；因承包人治安保卫管理不到位造成的财物丢失、损毁，由承包人承担全部赔偿责任。</w:t>
      </w:r>
    </w:p>
    <w:p w14:paraId="6B4FCAC4">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承包人负责协调处理施工现场及周边的治安纠纷，若发生治安事件，应第一时间采取处置措施并及时向发包人、监理人及当地公安机关报告，承担因治安事件产生的一切责任和费用。</w:t>
      </w:r>
    </w:p>
    <w:p w14:paraId="7859BA6E">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承包人须配合发包人、监理人及相关行政主管部门的治安检查工作，按要求提供治安保卫管理相关资料，对检查发现的问题及时整改。</w:t>
      </w:r>
    </w:p>
    <w:p w14:paraId="17028F79">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关于编制施工场地治安管理计划的约定：承包人应在开工前 7 日内编制完成施工场地治安管理计划，明确治安保卫组织机构、管理措施、人员配置、应急处置方案等内容，报监理人及发包人审批后严格执行；施工期间若现场情况发生变化，承包人应及时修订治安管理计划，重新报审后实施 </w:t>
      </w:r>
      <w:r>
        <w:rPr>
          <w:rFonts w:hint="eastAsia" w:ascii="宋体" w:hAnsi="宋体" w:eastAsia="宋体" w:cs="宋体"/>
          <w:color w:val="auto"/>
          <w:sz w:val="21"/>
          <w:szCs w:val="21"/>
          <w:highlight w:val="none"/>
        </w:rPr>
        <w:t>。</w:t>
      </w:r>
    </w:p>
    <w:p w14:paraId="62287672">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关于编制施工场地治安管理计划的约定</w:t>
      </w:r>
      <w:r>
        <w:rPr>
          <w:rFonts w:hint="eastAsia" w:ascii="宋体" w:hAnsi="宋体" w:cs="宋体"/>
          <w:color w:val="auto"/>
          <w:sz w:val="21"/>
          <w:szCs w:val="21"/>
          <w:highlight w:val="none"/>
          <w:lang w:eastAsia="zh-CN"/>
        </w:rPr>
        <w:t>：</w:t>
      </w:r>
    </w:p>
    <w:p w14:paraId="22066C3A">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文明施工</w:t>
      </w:r>
    </w:p>
    <w:p w14:paraId="640C4191">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合同当事人对文明施工的要求：</w:t>
      </w:r>
      <w:r>
        <w:rPr>
          <w:rFonts w:hint="eastAsia" w:ascii="宋体" w:hAnsi="宋体" w:eastAsia="宋体" w:cs="宋体"/>
          <w:color w:val="auto"/>
          <w:sz w:val="21"/>
          <w:szCs w:val="21"/>
          <w:highlight w:val="none"/>
          <w:u w:val="single"/>
        </w:rPr>
        <w:t>本工程施工场地须符合有关主管部门规定的标准化施工现场和文明工地要求，同时应满足市政、市容等有关主管部门的有关规定，承包人违反规定造成的损失和罚款由承包人负责 （1）按江苏省及淮安市有关规定执行，保证工完料尽、场地平整清洁、创达标</w:t>
      </w:r>
      <w:r>
        <w:rPr>
          <w:rFonts w:hint="eastAsia" w:ascii="宋体" w:hAnsi="宋体" w:eastAsia="宋体" w:cs="宋体"/>
          <w:color w:val="auto"/>
          <w:sz w:val="21"/>
          <w:szCs w:val="21"/>
          <w:highlight w:val="none"/>
          <w:u w:val="single"/>
          <w:lang w:eastAsia="zh-CN"/>
        </w:rPr>
        <w:t>工</w:t>
      </w:r>
      <w:r>
        <w:rPr>
          <w:rFonts w:hint="eastAsia" w:ascii="宋体" w:hAnsi="宋体" w:eastAsia="宋体" w:cs="宋体"/>
          <w:color w:val="auto"/>
          <w:sz w:val="21"/>
          <w:szCs w:val="21"/>
          <w:highlight w:val="none"/>
          <w:u w:val="single"/>
        </w:rPr>
        <w:t>地，交工前清理现场达到发包人的要求，并符合发包人和监理人提出的一切文明施工、环境卫生等管理规定；承包人须严格按</w:t>
      </w:r>
      <w:r>
        <w:rPr>
          <w:rFonts w:hint="eastAsia" w:ascii="宋体" w:hAnsi="宋体" w:cs="宋体"/>
          <w:color w:val="auto"/>
          <w:sz w:val="21"/>
          <w:szCs w:val="21"/>
          <w:highlight w:val="none"/>
          <w:u w:val="single"/>
          <w:lang w:eastAsia="zh-CN"/>
        </w:rPr>
        <w:t>响应文件</w:t>
      </w:r>
      <w:r>
        <w:rPr>
          <w:rFonts w:hint="eastAsia" w:ascii="宋体" w:hAnsi="宋体" w:eastAsia="宋体" w:cs="宋体"/>
          <w:color w:val="auto"/>
          <w:sz w:val="21"/>
          <w:szCs w:val="21"/>
          <w:highlight w:val="none"/>
          <w:u w:val="single"/>
        </w:rPr>
        <w:t>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现场废水和污水排放应按批准的方法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w:t>
      </w:r>
      <w:r>
        <w:rPr>
          <w:rFonts w:hint="eastAsia" w:ascii="宋体" w:hAnsi="宋体" w:eastAsia="宋体" w:cs="宋体"/>
          <w:color w:val="auto"/>
          <w:sz w:val="21"/>
          <w:szCs w:val="21"/>
          <w:highlight w:val="none"/>
          <w:u w:val="single"/>
          <w:lang w:eastAsia="zh-CN"/>
        </w:rPr>
        <w:t>及其他</w:t>
      </w:r>
      <w:r>
        <w:rPr>
          <w:rFonts w:hint="eastAsia" w:ascii="宋体" w:hAnsi="宋体" w:eastAsia="宋体" w:cs="宋体"/>
          <w:color w:val="auto"/>
          <w:sz w:val="21"/>
          <w:szCs w:val="21"/>
          <w:highlight w:val="none"/>
          <w:u w:val="single"/>
        </w:rPr>
        <w:t>设施等破坏修复费用及管网移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p>
    <w:p w14:paraId="619E6D0D">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注：上述相关费用由承包</w:t>
      </w:r>
      <w:r>
        <w:rPr>
          <w:rFonts w:hint="eastAsia" w:ascii="宋体" w:hAnsi="宋体" w:cs="宋体"/>
          <w:color w:val="auto"/>
          <w:sz w:val="21"/>
          <w:szCs w:val="21"/>
          <w:highlight w:val="none"/>
          <w:u w:val="single"/>
          <w:lang w:eastAsia="zh-CN"/>
        </w:rPr>
        <w:t>人在</w:t>
      </w:r>
      <w:r>
        <w:rPr>
          <w:rFonts w:hint="eastAsia" w:ascii="宋体" w:hAnsi="宋体" w:eastAsia="宋体" w:cs="宋体"/>
          <w:color w:val="auto"/>
          <w:sz w:val="21"/>
          <w:szCs w:val="21"/>
          <w:highlight w:val="none"/>
          <w:u w:val="single"/>
        </w:rPr>
        <w:t xml:space="preserve">投标时自行考虑，已包含在发包价内。施工期间发生的该类一切费用发包人不予补偿 </w:t>
      </w:r>
      <w:r>
        <w:rPr>
          <w:rFonts w:hint="eastAsia" w:ascii="宋体" w:hAnsi="宋体" w:eastAsia="宋体" w:cs="宋体"/>
          <w:color w:val="auto"/>
          <w:sz w:val="21"/>
          <w:szCs w:val="21"/>
          <w:highlight w:val="none"/>
        </w:rPr>
        <w:t>。</w:t>
      </w:r>
    </w:p>
    <w:p w14:paraId="05DB42D4">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 xml:space="preserve"> 关于安全文明施工费支付比例和支付期限的约定：</w:t>
      </w:r>
      <w:r>
        <w:rPr>
          <w:rFonts w:hint="eastAsia" w:ascii="宋体" w:hAnsi="宋体" w:eastAsia="宋体" w:cs="宋体"/>
          <w:color w:val="auto"/>
          <w:sz w:val="21"/>
          <w:szCs w:val="21"/>
          <w:highlight w:val="none"/>
          <w:u w:val="single"/>
        </w:rPr>
        <w:t xml:space="preserve">  按专用合同条款第12.4.1项〔付款周期〕的约定予以支付  </w:t>
      </w:r>
      <w:r>
        <w:rPr>
          <w:rFonts w:hint="eastAsia" w:ascii="宋体" w:hAnsi="宋体" w:eastAsia="宋体" w:cs="宋体"/>
          <w:color w:val="auto"/>
          <w:sz w:val="21"/>
          <w:szCs w:val="21"/>
          <w:highlight w:val="none"/>
        </w:rPr>
        <w:t>。</w:t>
      </w:r>
    </w:p>
    <w:bookmarkEnd w:id="170"/>
    <w:bookmarkEnd w:id="171"/>
    <w:bookmarkEnd w:id="172"/>
    <w:bookmarkEnd w:id="173"/>
    <w:bookmarkEnd w:id="174"/>
    <w:bookmarkEnd w:id="175"/>
    <w:bookmarkEnd w:id="176"/>
    <w:p w14:paraId="04445BF9">
      <w:pPr>
        <w:pStyle w:val="2"/>
        <w:pageBreakBefore w:val="0"/>
        <w:widowControl w:val="0"/>
        <w:kinsoku/>
        <w:wordWrap/>
        <w:overflowPunct/>
        <w:topLinePunct w:val="0"/>
        <w:bidi w:val="0"/>
        <w:spacing w:line="380" w:lineRule="exact"/>
        <w:ind w:left="0" w:leftChars="0" w:firstLine="422" w:firstLineChars="200"/>
        <w:textAlignment w:val="auto"/>
        <w:rPr>
          <w:rFonts w:hint="eastAsia" w:ascii="宋体" w:hAnsi="宋体" w:eastAsia="宋体" w:cs="宋体"/>
          <w:color w:val="auto"/>
          <w:sz w:val="21"/>
          <w:szCs w:val="21"/>
          <w:highlight w:val="none"/>
          <w:lang w:eastAsia="zh-CN"/>
        </w:rPr>
      </w:pPr>
      <w:bookmarkStart w:id="178" w:name="_Toc351203639"/>
      <w:r>
        <w:rPr>
          <w:rFonts w:hint="eastAsia" w:ascii="宋体" w:hAnsi="宋体" w:eastAsia="宋体" w:cs="宋体"/>
          <w:color w:val="auto"/>
          <w:sz w:val="21"/>
          <w:szCs w:val="21"/>
          <w:highlight w:val="none"/>
          <w:lang w:eastAsia="zh-CN"/>
        </w:rPr>
        <w:t>7. 工期和进度</w:t>
      </w:r>
      <w:bookmarkEnd w:id="178"/>
    </w:p>
    <w:p w14:paraId="3D2A498A">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施工组织设计</w:t>
      </w:r>
    </w:p>
    <w:p w14:paraId="68935BE7">
      <w:pPr>
        <w:pageBreakBefore w:val="0"/>
        <w:widowControl w:val="0"/>
        <w:kinsoku/>
        <w:wordWrap/>
        <w:overflowPunct/>
        <w:topLinePunct w:val="0"/>
        <w:autoSpaceDE w:val="0"/>
        <w:autoSpaceDN w:val="0"/>
        <w:bidi w:val="0"/>
        <w:adjustRightInd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7.1.1 合</w:t>
      </w:r>
      <w:r>
        <w:rPr>
          <w:rFonts w:hint="eastAsia" w:ascii="宋体" w:hAnsi="宋体" w:eastAsia="宋体" w:cs="宋体"/>
          <w:color w:val="auto"/>
          <w:kern w:val="0"/>
          <w:sz w:val="21"/>
          <w:szCs w:val="21"/>
          <w:highlight w:val="none"/>
        </w:rPr>
        <w:t>同当事人约定的施工组织设计应包括的其他内容：</w:t>
      </w:r>
      <w:r>
        <w:rPr>
          <w:rFonts w:hint="eastAsia" w:ascii="宋体" w:hAnsi="宋体" w:eastAsia="宋体" w:cs="宋体"/>
          <w:color w:val="auto"/>
          <w:sz w:val="21"/>
          <w:szCs w:val="21"/>
          <w:highlight w:val="none"/>
          <w:u w:val="single"/>
        </w:rPr>
        <w:t xml:space="preserve">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  </w:t>
      </w:r>
      <w:r>
        <w:rPr>
          <w:rFonts w:hint="eastAsia" w:ascii="宋体" w:hAnsi="宋体" w:eastAsia="宋体" w:cs="宋体"/>
          <w:color w:val="auto"/>
          <w:sz w:val="21"/>
          <w:szCs w:val="21"/>
          <w:highlight w:val="none"/>
        </w:rPr>
        <w:t>。</w:t>
      </w:r>
    </w:p>
    <w:p w14:paraId="3B5656C8">
      <w:pPr>
        <w:pageBreakBefore w:val="0"/>
        <w:widowControl w:val="0"/>
        <w:kinsoku/>
        <w:wordWrap/>
        <w:overflowPunct/>
        <w:topLinePunct w:val="0"/>
        <w:autoSpaceDE w:val="0"/>
        <w:autoSpaceDN w:val="0"/>
        <w:bidi w:val="0"/>
        <w:adjustRightInd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7.1.2</w:t>
      </w:r>
      <w:r>
        <w:rPr>
          <w:rFonts w:hint="eastAsia" w:ascii="宋体" w:hAnsi="宋体" w:eastAsia="宋体" w:cs="宋体"/>
          <w:color w:val="auto"/>
          <w:kern w:val="0"/>
          <w:sz w:val="21"/>
          <w:szCs w:val="21"/>
          <w:highlight w:val="none"/>
        </w:rPr>
        <w:t>施工组织设计的提交和修改</w:t>
      </w:r>
    </w:p>
    <w:p w14:paraId="26F1FB05">
      <w:pPr>
        <w:pageBreakBefore w:val="0"/>
        <w:widowControl w:val="0"/>
        <w:kinsoku/>
        <w:wordWrap/>
        <w:overflowPunct/>
        <w:topLinePunct w:val="0"/>
        <w:autoSpaceDE w:val="0"/>
        <w:autoSpaceDN w:val="0"/>
        <w:bidi w:val="0"/>
        <w:adjustRightInd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承包人提交详细施工组织设计的期限的约定：</w:t>
      </w:r>
      <w:r>
        <w:rPr>
          <w:rFonts w:hint="eastAsia" w:ascii="宋体" w:hAnsi="宋体" w:eastAsia="宋体" w:cs="宋体"/>
          <w:color w:val="auto"/>
          <w:sz w:val="21"/>
          <w:szCs w:val="21"/>
          <w:highlight w:val="none"/>
          <w:u w:val="single"/>
        </w:rPr>
        <w:t xml:space="preserve">承包人应在合同签订后14天内提交详细的施工组织设计，但至迟不得晚于监理人发出开工通知中载明的开工日期前7天 </w:t>
      </w:r>
      <w:r>
        <w:rPr>
          <w:rFonts w:hint="eastAsia" w:ascii="宋体" w:hAnsi="宋体" w:eastAsia="宋体" w:cs="宋体"/>
          <w:color w:val="auto"/>
          <w:sz w:val="21"/>
          <w:szCs w:val="21"/>
          <w:highlight w:val="none"/>
        </w:rPr>
        <w:t>。</w:t>
      </w:r>
    </w:p>
    <w:p w14:paraId="23E97D43">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发包人和监理人在收到详细的施工组织设计后确认或提出修改意见的期限：</w:t>
      </w:r>
      <w:r>
        <w:rPr>
          <w:rFonts w:hint="eastAsia" w:ascii="宋体" w:hAnsi="宋体" w:eastAsia="宋体" w:cs="宋体"/>
          <w:color w:val="auto"/>
          <w:sz w:val="21"/>
          <w:szCs w:val="21"/>
          <w:highlight w:val="none"/>
          <w:u w:val="single"/>
        </w:rPr>
        <w:t>7日内</w:t>
      </w:r>
      <w:r>
        <w:rPr>
          <w:rFonts w:hint="eastAsia" w:ascii="宋体" w:hAnsi="宋体" w:eastAsia="宋体" w:cs="宋体"/>
          <w:color w:val="auto"/>
          <w:sz w:val="21"/>
          <w:szCs w:val="21"/>
          <w:highlight w:val="none"/>
        </w:rPr>
        <w:t>。</w:t>
      </w:r>
    </w:p>
    <w:p w14:paraId="40A75B86">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179" w:name="_Toc303539123"/>
      <w:bookmarkStart w:id="180" w:name="_Toc300934966"/>
      <w:bookmarkStart w:id="181" w:name="_Toc312678005"/>
      <w:bookmarkStart w:id="182" w:name="_Toc297216173"/>
      <w:bookmarkStart w:id="183" w:name="_Toc312677479"/>
      <w:bookmarkStart w:id="184" w:name="_Toc304295541"/>
      <w:bookmarkStart w:id="185" w:name="_Toc297123514"/>
      <w:r>
        <w:rPr>
          <w:rFonts w:hint="eastAsia" w:ascii="宋体" w:hAnsi="宋体" w:eastAsia="宋体" w:cs="宋体"/>
          <w:color w:val="auto"/>
          <w:sz w:val="21"/>
          <w:szCs w:val="21"/>
          <w:highlight w:val="none"/>
        </w:rPr>
        <w:t>.2 施工进度计划</w:t>
      </w:r>
    </w:p>
    <w:p w14:paraId="1D961A2F">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 xml:space="preserve"> 施工进度计划的修订</w:t>
      </w:r>
    </w:p>
    <w:p w14:paraId="00AAE842">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发包人和监理人在收到修订的施工进度计划后确认或提出修改意见的期限：</w:t>
      </w:r>
      <w:r>
        <w:rPr>
          <w:rFonts w:hint="eastAsia" w:ascii="宋体" w:hAnsi="宋体" w:eastAsia="宋体" w:cs="宋体"/>
          <w:color w:val="auto"/>
          <w:sz w:val="21"/>
          <w:szCs w:val="21"/>
          <w:highlight w:val="none"/>
          <w:u w:val="single"/>
        </w:rPr>
        <w:t>7日内</w:t>
      </w:r>
      <w:r>
        <w:rPr>
          <w:rFonts w:hint="eastAsia" w:ascii="宋体" w:hAnsi="宋体" w:eastAsia="宋体" w:cs="宋体"/>
          <w:color w:val="auto"/>
          <w:sz w:val="21"/>
          <w:szCs w:val="21"/>
          <w:highlight w:val="none"/>
        </w:rPr>
        <w:t>。</w:t>
      </w:r>
    </w:p>
    <w:p w14:paraId="2F94B9EC">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 开工</w:t>
      </w:r>
    </w:p>
    <w:p w14:paraId="0003AAFC">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7.3.1 开工准备</w:t>
      </w:r>
    </w:p>
    <w:p w14:paraId="1887A421">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关于承包人提交</w:t>
      </w:r>
      <w:r>
        <w:rPr>
          <w:rFonts w:hint="eastAsia" w:ascii="宋体" w:hAnsi="宋体" w:eastAsia="宋体" w:cs="宋体"/>
          <w:color w:val="auto"/>
          <w:kern w:val="0"/>
          <w:sz w:val="21"/>
          <w:szCs w:val="21"/>
          <w:highlight w:val="none"/>
        </w:rPr>
        <w:t>工程开工报审表的期限：</w:t>
      </w:r>
      <w:r>
        <w:rPr>
          <w:rFonts w:hint="eastAsia" w:ascii="宋体" w:hAnsi="宋体" w:eastAsia="宋体" w:cs="宋体"/>
          <w:color w:val="auto"/>
          <w:sz w:val="21"/>
          <w:szCs w:val="21"/>
          <w:highlight w:val="none"/>
          <w:u w:val="single"/>
        </w:rPr>
        <w:t>按通用合同条款执行</w:t>
      </w:r>
      <w:r>
        <w:rPr>
          <w:rFonts w:hint="eastAsia" w:ascii="宋体" w:hAnsi="宋体" w:eastAsia="宋体" w:cs="宋体"/>
          <w:color w:val="auto"/>
          <w:sz w:val="21"/>
          <w:szCs w:val="21"/>
          <w:highlight w:val="none"/>
        </w:rPr>
        <w:t>。</w:t>
      </w:r>
    </w:p>
    <w:p w14:paraId="2FDB5908">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关于发包人应完成的其他开工准备工作及期限</w:t>
      </w:r>
      <w:r>
        <w:rPr>
          <w:rFonts w:hint="eastAsia" w:ascii="宋体" w:hAnsi="宋体" w:cs="宋体"/>
          <w:color w:val="auto"/>
          <w:sz w:val="21"/>
          <w:szCs w:val="21"/>
          <w:highlight w:val="none"/>
          <w:lang w:eastAsia="zh-CN"/>
        </w:rPr>
        <w:t>：</w:t>
      </w:r>
    </w:p>
    <w:p w14:paraId="36395396">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关于承包人应完成的其他开工准备工作及期限</w:t>
      </w:r>
      <w:r>
        <w:rPr>
          <w:rFonts w:hint="eastAsia" w:ascii="宋体" w:hAnsi="宋体" w:cs="宋体"/>
          <w:color w:val="auto"/>
          <w:sz w:val="21"/>
          <w:szCs w:val="21"/>
          <w:highlight w:val="none"/>
          <w:lang w:eastAsia="zh-CN"/>
        </w:rPr>
        <w:t>：</w:t>
      </w:r>
    </w:p>
    <w:p w14:paraId="609B828D">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7.3.2开工通知</w:t>
      </w:r>
    </w:p>
    <w:p w14:paraId="5E2BF40A">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因发包人原因造成监理人未能在计划开工日期之日起</w:t>
      </w:r>
      <w:r>
        <w:rPr>
          <w:rFonts w:hint="eastAsia" w:ascii="宋体" w:hAnsi="宋体" w:eastAsia="宋体" w:cs="宋体"/>
          <w:color w:val="auto"/>
          <w:sz w:val="21"/>
          <w:szCs w:val="21"/>
          <w:highlight w:val="none"/>
          <w:lang w:val="en-US" w:eastAsia="zh-CN"/>
        </w:rPr>
        <w:t>180</w:t>
      </w:r>
      <w:r>
        <w:rPr>
          <w:rFonts w:hint="eastAsia" w:ascii="宋体" w:hAnsi="宋体" w:eastAsia="宋体" w:cs="宋体"/>
          <w:color w:val="auto"/>
          <w:sz w:val="21"/>
          <w:szCs w:val="21"/>
          <w:highlight w:val="none"/>
        </w:rPr>
        <w:t>天内发出开工通知的，承包人有权提出价格调整要求，或者解除合同。</w:t>
      </w:r>
    </w:p>
    <w:bookmarkEnd w:id="179"/>
    <w:bookmarkEnd w:id="180"/>
    <w:bookmarkEnd w:id="181"/>
    <w:bookmarkEnd w:id="182"/>
    <w:bookmarkEnd w:id="183"/>
    <w:bookmarkEnd w:id="184"/>
    <w:bookmarkEnd w:id="185"/>
    <w:p w14:paraId="65E5215D">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 测量放线</w:t>
      </w:r>
    </w:p>
    <w:p w14:paraId="630E9AD8">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7.4.1发包人通过监理人向承包人提供测量基准点、基准线和水准点及其书面资料的期限</w:t>
      </w:r>
      <w:r>
        <w:rPr>
          <w:rFonts w:hint="eastAsia" w:ascii="宋体" w:hAnsi="宋体" w:eastAsia="宋体" w:cs="宋体"/>
          <w:color w:val="auto"/>
          <w:sz w:val="21"/>
          <w:szCs w:val="21"/>
          <w:highlight w:val="none"/>
          <w:lang w:eastAsia="zh-CN"/>
        </w:rPr>
        <w:t>：</w:t>
      </w:r>
    </w:p>
    <w:p w14:paraId="58144461">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186" w:name="_Toc304295546"/>
      <w:bookmarkStart w:id="187" w:name="_Toc303539125"/>
      <w:bookmarkStart w:id="188" w:name="_Toc297123516"/>
      <w:bookmarkStart w:id="189" w:name="_Toc300934968"/>
      <w:bookmarkStart w:id="190" w:name="_Toc312678010"/>
      <w:bookmarkStart w:id="191" w:name="_Toc297216175"/>
      <w:bookmarkStart w:id="192" w:name="_Toc312677484"/>
      <w:r>
        <w:rPr>
          <w:rFonts w:hint="eastAsia" w:ascii="宋体" w:hAnsi="宋体" w:eastAsia="宋体" w:cs="宋体"/>
          <w:color w:val="auto"/>
          <w:sz w:val="21"/>
          <w:szCs w:val="21"/>
          <w:highlight w:val="none"/>
        </w:rPr>
        <w:t>.5 工期延误</w:t>
      </w:r>
    </w:p>
    <w:bookmarkEnd w:id="186"/>
    <w:bookmarkEnd w:id="187"/>
    <w:bookmarkEnd w:id="188"/>
    <w:bookmarkEnd w:id="189"/>
    <w:bookmarkEnd w:id="190"/>
    <w:bookmarkEnd w:id="191"/>
    <w:bookmarkEnd w:id="192"/>
    <w:p w14:paraId="7A0D23CF">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7.5.1 因发包人原因导致工期延误</w:t>
      </w:r>
    </w:p>
    <w:p w14:paraId="20EF34C3">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（7）因发包人原因导致工期延误的其他情形</w:t>
      </w:r>
      <w:r>
        <w:rPr>
          <w:rFonts w:hint="eastAsia" w:ascii="宋体" w:hAnsi="宋体" w:eastAsia="宋体" w:cs="宋体"/>
          <w:color w:val="auto"/>
          <w:sz w:val="21"/>
          <w:szCs w:val="21"/>
          <w:highlight w:val="none"/>
          <w:lang w:eastAsia="zh-CN"/>
        </w:rPr>
        <w:t>：</w:t>
      </w:r>
    </w:p>
    <w:p w14:paraId="1E799D7D">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193" w:name="_Toc312678012"/>
      <w:bookmarkStart w:id="194" w:name="_Toc318581169"/>
      <w:bookmarkStart w:id="195" w:name="_Toc312677486"/>
      <w:bookmarkStart w:id="196" w:name="_Toc304295548"/>
      <w:bookmarkStart w:id="197" w:name="_Toc297123518"/>
      <w:bookmarkStart w:id="198" w:name="_Toc303539127"/>
      <w:bookmarkStart w:id="199" w:name="_Toc300934970"/>
      <w:bookmarkStart w:id="200" w:name="_Toc297216177"/>
      <w:r>
        <w:rPr>
          <w:rFonts w:hint="eastAsia" w:ascii="宋体" w:hAnsi="宋体" w:eastAsia="宋体" w:cs="宋体"/>
          <w:color w:val="auto"/>
          <w:sz w:val="21"/>
          <w:szCs w:val="21"/>
          <w:highlight w:val="none"/>
        </w:rPr>
        <w:t>.5.2 因承包人原因导致工期延误</w:t>
      </w:r>
    </w:p>
    <w:bookmarkEnd w:id="193"/>
    <w:bookmarkEnd w:id="194"/>
    <w:bookmarkEnd w:id="195"/>
    <w:p w14:paraId="6D86E6EC">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w:t>
      </w:r>
      <w:bookmarkStart w:id="201" w:name="_Toc312677487"/>
      <w:bookmarkStart w:id="202" w:name="_Toc312678013"/>
      <w:bookmarkStart w:id="203" w:name="_Toc318581170"/>
      <w:r>
        <w:rPr>
          <w:rFonts w:hint="eastAsia" w:ascii="宋体" w:hAnsi="宋体" w:eastAsia="宋体" w:cs="宋体"/>
          <w:color w:val="auto"/>
          <w:sz w:val="21"/>
          <w:szCs w:val="21"/>
          <w:highlight w:val="none"/>
        </w:rPr>
        <w:t>承包人原因造成工期延误，逾期竣工违约金的计算方法为：</w:t>
      </w:r>
      <w:r>
        <w:rPr>
          <w:rFonts w:hint="eastAsia" w:ascii="宋体" w:hAnsi="宋体" w:eastAsia="宋体" w:cs="宋体"/>
          <w:color w:val="auto"/>
          <w:sz w:val="21"/>
          <w:szCs w:val="21"/>
          <w:highlight w:val="none"/>
          <w:u w:val="single"/>
        </w:rPr>
        <w:t xml:space="preserve">承包人向发包人支付2000元/天的违约金 </w:t>
      </w:r>
      <w:r>
        <w:rPr>
          <w:rFonts w:hint="eastAsia" w:ascii="宋体" w:hAnsi="宋体" w:eastAsia="宋体" w:cs="宋体"/>
          <w:color w:val="auto"/>
          <w:sz w:val="21"/>
          <w:szCs w:val="21"/>
          <w:highlight w:val="none"/>
        </w:rPr>
        <w:t>。</w:t>
      </w:r>
      <w:bookmarkEnd w:id="196"/>
      <w:bookmarkEnd w:id="197"/>
      <w:bookmarkEnd w:id="198"/>
      <w:bookmarkEnd w:id="199"/>
      <w:bookmarkEnd w:id="200"/>
      <w:bookmarkEnd w:id="201"/>
      <w:bookmarkEnd w:id="202"/>
    </w:p>
    <w:bookmarkEnd w:id="203"/>
    <w:p w14:paraId="6CE171F8">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因承包人原因造成工期延误，逾</w:t>
      </w:r>
      <w:bookmarkStart w:id="204" w:name="_Toc312678014"/>
      <w:bookmarkStart w:id="205" w:name="_Toc318581171"/>
      <w:r>
        <w:rPr>
          <w:rFonts w:hint="eastAsia" w:ascii="宋体" w:hAnsi="宋体" w:eastAsia="宋体" w:cs="宋体"/>
          <w:color w:val="auto"/>
          <w:sz w:val="21"/>
          <w:szCs w:val="21"/>
          <w:highlight w:val="none"/>
        </w:rPr>
        <w:t>期竣工违约金的上限：</w:t>
      </w:r>
      <w:r>
        <w:rPr>
          <w:rFonts w:hint="eastAsia" w:ascii="宋体" w:hAnsi="宋体" w:eastAsia="宋体" w:cs="宋体"/>
          <w:color w:val="auto"/>
          <w:sz w:val="21"/>
          <w:szCs w:val="21"/>
          <w:highlight w:val="none"/>
          <w:u w:val="single"/>
          <w:lang w:val="en-US" w:eastAsia="zh-CN"/>
        </w:rPr>
        <w:t>合同总价20%的违约金</w:t>
      </w:r>
      <w:r>
        <w:rPr>
          <w:rFonts w:hint="eastAsia" w:ascii="宋体" w:hAnsi="宋体" w:eastAsia="宋体" w:cs="宋体"/>
          <w:color w:val="auto"/>
          <w:sz w:val="21"/>
          <w:szCs w:val="21"/>
          <w:highlight w:val="none"/>
        </w:rPr>
        <w:t>。</w:t>
      </w:r>
    </w:p>
    <w:bookmarkEnd w:id="204"/>
    <w:bookmarkEnd w:id="205"/>
    <w:p w14:paraId="4E9C1422">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206" w:name="_Toc297123519"/>
      <w:bookmarkStart w:id="207" w:name="_Toc300934971"/>
      <w:bookmarkStart w:id="208" w:name="_Toc304295549"/>
      <w:bookmarkStart w:id="209" w:name="_Toc303539128"/>
      <w:bookmarkStart w:id="210" w:name="_Toc312678015"/>
      <w:bookmarkStart w:id="211" w:name="_Toc297216178"/>
      <w:r>
        <w:rPr>
          <w:rFonts w:hint="eastAsia" w:ascii="宋体" w:hAnsi="宋体" w:eastAsia="宋体" w:cs="宋体"/>
          <w:color w:val="auto"/>
          <w:sz w:val="21"/>
          <w:szCs w:val="21"/>
          <w:highlight w:val="none"/>
        </w:rPr>
        <w:t>.6 不</w:t>
      </w:r>
      <w:bookmarkEnd w:id="206"/>
      <w:bookmarkEnd w:id="207"/>
      <w:bookmarkEnd w:id="208"/>
      <w:bookmarkEnd w:id="209"/>
      <w:bookmarkEnd w:id="210"/>
      <w:bookmarkEnd w:id="211"/>
      <w:r>
        <w:rPr>
          <w:rFonts w:hint="eastAsia" w:ascii="宋体" w:hAnsi="宋体" w:eastAsia="宋体" w:cs="宋体"/>
          <w:color w:val="auto"/>
          <w:sz w:val="21"/>
          <w:szCs w:val="21"/>
          <w:highlight w:val="none"/>
        </w:rPr>
        <w:t>利物质条件</w:t>
      </w:r>
    </w:p>
    <w:p w14:paraId="569D1F94">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bookmarkStart w:id="212" w:name="_Toc318581172"/>
      <w:bookmarkStart w:id="213" w:name="_Toc304295550"/>
      <w:bookmarkStart w:id="214" w:name="_Toc312678016"/>
      <w:bookmarkStart w:id="215" w:name="_Toc300934972"/>
      <w:bookmarkStart w:id="216" w:name="_Toc297216179"/>
      <w:bookmarkStart w:id="217" w:name="_Toc297123520"/>
      <w:bookmarkStart w:id="218" w:name="_Toc303539129"/>
      <w:r>
        <w:rPr>
          <w:rFonts w:hint="eastAsia" w:ascii="宋体" w:hAnsi="宋体" w:eastAsia="宋体" w:cs="宋体"/>
          <w:color w:val="auto"/>
          <w:sz w:val="21"/>
          <w:szCs w:val="21"/>
          <w:highlight w:val="none"/>
        </w:rPr>
        <w:t>不利物质条件的其他情形和有关约定</w:t>
      </w:r>
      <w:r>
        <w:rPr>
          <w:rFonts w:hint="eastAsia" w:ascii="宋体" w:hAnsi="宋体" w:eastAsia="宋体" w:cs="宋体"/>
          <w:color w:val="auto"/>
          <w:sz w:val="21"/>
          <w:szCs w:val="21"/>
          <w:highlight w:val="none"/>
          <w:lang w:eastAsia="zh-CN"/>
        </w:rPr>
        <w:t>：</w:t>
      </w:r>
    </w:p>
    <w:bookmarkEnd w:id="212"/>
    <w:bookmarkEnd w:id="213"/>
    <w:bookmarkEnd w:id="214"/>
    <w:bookmarkEnd w:id="215"/>
    <w:bookmarkEnd w:id="216"/>
    <w:bookmarkEnd w:id="217"/>
    <w:bookmarkEnd w:id="218"/>
    <w:p w14:paraId="32A0086E">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219" w:name="_Toc312678017"/>
      <w:bookmarkStart w:id="220" w:name="_Toc303539130"/>
      <w:bookmarkStart w:id="221" w:name="_Toc297123521"/>
      <w:bookmarkStart w:id="222" w:name="_Toc297216180"/>
      <w:bookmarkStart w:id="223" w:name="_Toc304295551"/>
      <w:bookmarkStart w:id="224" w:name="_Toc300934973"/>
      <w:r>
        <w:rPr>
          <w:rFonts w:hint="eastAsia" w:ascii="宋体" w:hAnsi="宋体" w:eastAsia="宋体" w:cs="宋体"/>
          <w:color w:val="auto"/>
          <w:sz w:val="21"/>
          <w:szCs w:val="21"/>
          <w:highlight w:val="none"/>
        </w:rPr>
        <w:t>.7异常恶劣的气候条件</w:t>
      </w:r>
    </w:p>
    <w:bookmarkEnd w:id="219"/>
    <w:bookmarkEnd w:id="220"/>
    <w:bookmarkEnd w:id="221"/>
    <w:bookmarkEnd w:id="222"/>
    <w:bookmarkEnd w:id="223"/>
    <w:bookmarkEnd w:id="224"/>
    <w:p w14:paraId="613E41E8">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发包人和承包人同意以下情形视为异常恶劣的气候条件</w:t>
      </w:r>
      <w:r>
        <w:rPr>
          <w:rFonts w:hint="eastAsia" w:ascii="宋体" w:hAnsi="宋体" w:eastAsia="宋体" w:cs="宋体"/>
          <w:color w:val="auto"/>
          <w:sz w:val="21"/>
          <w:szCs w:val="21"/>
          <w:highlight w:val="none"/>
          <w:u w:val="single"/>
        </w:rPr>
        <w:t>按通用条款执行</w:t>
      </w:r>
      <w:r>
        <w:rPr>
          <w:rFonts w:hint="eastAsia" w:ascii="宋体" w:hAnsi="宋体" w:eastAsia="宋体" w:cs="宋体"/>
          <w:color w:val="auto"/>
          <w:sz w:val="21"/>
          <w:szCs w:val="21"/>
          <w:highlight w:val="none"/>
        </w:rPr>
        <w:t>：</w:t>
      </w:r>
    </w:p>
    <w:p w14:paraId="48D939C5">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u w:val="single"/>
          <w:lang w:val="en-US" w:eastAsia="zh-CN"/>
        </w:rPr>
      </w:pPr>
      <w:bookmarkStart w:id="225" w:name="_Toc20730"/>
      <w:bookmarkStart w:id="226" w:name="_Toc25312"/>
      <w:r>
        <w:rPr>
          <w:rFonts w:hint="eastAsia" w:ascii="宋体" w:hAnsi="宋体" w:eastAsia="宋体" w:cs="宋体"/>
          <w:color w:val="auto"/>
          <w:sz w:val="21"/>
          <w:szCs w:val="21"/>
          <w:highlight w:val="none"/>
          <w:u w:val="single"/>
          <w:lang w:val="en-US" w:eastAsia="zh-CN"/>
        </w:rPr>
        <w:t>（1）日降雨量大于100㎜的雨日超过3天；</w:t>
      </w:r>
      <w:bookmarkEnd w:id="225"/>
      <w:bookmarkEnd w:id="226"/>
    </w:p>
    <w:p w14:paraId="6B5A73F1">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u w:val="single"/>
          <w:lang w:val="en-US" w:eastAsia="zh-CN"/>
        </w:rPr>
      </w:pPr>
      <w:bookmarkStart w:id="227" w:name="_Toc14181"/>
      <w:bookmarkStart w:id="228" w:name="_Toc22806"/>
      <w:r>
        <w:rPr>
          <w:rFonts w:hint="eastAsia" w:ascii="宋体" w:hAnsi="宋体" w:eastAsia="宋体" w:cs="宋体"/>
          <w:color w:val="auto"/>
          <w:sz w:val="21"/>
          <w:szCs w:val="21"/>
          <w:highlight w:val="none"/>
          <w:u w:val="single"/>
          <w:lang w:val="en-US" w:eastAsia="zh-CN"/>
        </w:rPr>
        <w:t>（2）风速大于17.2m/s的8级以上台风灾害；</w:t>
      </w:r>
      <w:bookmarkEnd w:id="227"/>
      <w:bookmarkEnd w:id="228"/>
    </w:p>
    <w:p w14:paraId="31793899">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u w:val="single"/>
          <w:lang w:val="en-US" w:eastAsia="zh-CN"/>
        </w:rPr>
      </w:pPr>
      <w:bookmarkStart w:id="229" w:name="_Toc2784"/>
      <w:bookmarkStart w:id="230" w:name="_Toc9464"/>
      <w:r>
        <w:rPr>
          <w:rFonts w:hint="eastAsia" w:ascii="宋体" w:hAnsi="宋体" w:eastAsia="宋体" w:cs="宋体"/>
          <w:color w:val="auto"/>
          <w:sz w:val="21"/>
          <w:szCs w:val="21"/>
          <w:highlight w:val="none"/>
          <w:u w:val="single"/>
          <w:lang w:val="en-US" w:eastAsia="zh-CN"/>
        </w:rPr>
        <w:t>（3）日气温超过37℃的高温大于3天或日气温超过35℃的高温连续5天及以上；</w:t>
      </w:r>
      <w:bookmarkEnd w:id="229"/>
      <w:bookmarkEnd w:id="230"/>
    </w:p>
    <w:p w14:paraId="49230844">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u w:val="single"/>
          <w:lang w:val="en-US" w:eastAsia="zh-CN"/>
        </w:rPr>
      </w:pPr>
      <w:bookmarkStart w:id="231" w:name="_Toc12653"/>
      <w:bookmarkStart w:id="232" w:name="_Toc14197"/>
      <w:r>
        <w:rPr>
          <w:rFonts w:hint="eastAsia" w:ascii="宋体" w:hAnsi="宋体" w:eastAsia="宋体" w:cs="宋体"/>
          <w:color w:val="auto"/>
          <w:sz w:val="21"/>
          <w:szCs w:val="21"/>
          <w:highlight w:val="none"/>
          <w:u w:val="single"/>
          <w:lang w:val="en-US" w:eastAsia="zh-CN"/>
        </w:rPr>
        <w:t>（4）日气温低于―10℃ 的大寒大于3天；</w:t>
      </w:r>
      <w:bookmarkEnd w:id="231"/>
      <w:bookmarkEnd w:id="232"/>
    </w:p>
    <w:p w14:paraId="3604F536">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u w:val="single"/>
          <w:lang w:val="en-US" w:eastAsia="zh-CN"/>
        </w:rPr>
      </w:pPr>
      <w:bookmarkStart w:id="233" w:name="_Toc30033"/>
      <w:bookmarkStart w:id="234" w:name="_Toc24184"/>
      <w:r>
        <w:rPr>
          <w:rFonts w:hint="eastAsia" w:ascii="宋体" w:hAnsi="宋体" w:eastAsia="宋体" w:cs="宋体"/>
          <w:color w:val="auto"/>
          <w:sz w:val="21"/>
          <w:szCs w:val="21"/>
          <w:highlight w:val="none"/>
          <w:u w:val="single"/>
          <w:lang w:val="en-US" w:eastAsia="zh-CN"/>
        </w:rPr>
        <w:t>（5）造成工程损坏的冰雹和大雪灾害：日降雪量10㎜及以上；</w:t>
      </w:r>
      <w:bookmarkEnd w:id="233"/>
      <w:bookmarkEnd w:id="234"/>
    </w:p>
    <w:p w14:paraId="66E8664D">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u w:val="single"/>
          <w:lang w:val="en-US" w:eastAsia="zh-CN"/>
        </w:rPr>
      </w:pPr>
      <w:bookmarkStart w:id="235" w:name="_Toc14325"/>
      <w:bookmarkStart w:id="236" w:name="_Toc1784"/>
      <w:r>
        <w:rPr>
          <w:rFonts w:hint="eastAsia" w:ascii="宋体" w:hAnsi="宋体" w:eastAsia="宋体" w:cs="宋体"/>
          <w:color w:val="auto"/>
          <w:sz w:val="21"/>
          <w:szCs w:val="21"/>
          <w:highlight w:val="none"/>
          <w:u w:val="single"/>
          <w:lang w:val="en-US" w:eastAsia="zh-CN"/>
        </w:rPr>
        <w:t>（6）其他异常恶劣气候灾害 。</w:t>
      </w:r>
      <w:bookmarkEnd w:id="235"/>
      <w:bookmarkEnd w:id="236"/>
    </w:p>
    <w:p w14:paraId="65A26C54">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u w:val="single"/>
          <w:lang w:val="en-US" w:eastAsia="zh-CN"/>
        </w:rPr>
      </w:pPr>
      <w:bookmarkStart w:id="237" w:name="_Toc406"/>
      <w:bookmarkStart w:id="238" w:name="_Toc11964"/>
      <w:r>
        <w:rPr>
          <w:rFonts w:hint="eastAsia" w:ascii="宋体" w:hAnsi="宋体" w:eastAsia="宋体" w:cs="宋体"/>
          <w:color w:val="auto"/>
          <w:sz w:val="21"/>
          <w:szCs w:val="21"/>
          <w:highlight w:val="none"/>
          <w:u w:val="single"/>
          <w:lang w:val="en-US" w:eastAsia="zh-CN"/>
        </w:rPr>
        <w:t>注：均以气象部门公布的为准。</w:t>
      </w:r>
      <w:bookmarkEnd w:id="237"/>
      <w:bookmarkEnd w:id="238"/>
    </w:p>
    <w:p w14:paraId="1A230DA7">
      <w:pPr>
        <w:pageBreakBefore w:val="0"/>
        <w:widowControl w:val="0"/>
        <w:kinsoku/>
        <w:wordWrap/>
        <w:overflowPunct/>
        <w:topLinePunct w:val="0"/>
        <w:bidi w:val="0"/>
        <w:spacing w:line="380" w:lineRule="exact"/>
        <w:ind w:left="0" w:leftChars="0" w:firstLine="420" w:firstLineChars="200"/>
        <w:textAlignment w:val="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 xml:space="preserve"> 提前竣工的奖励</w:t>
      </w:r>
    </w:p>
    <w:p w14:paraId="21034DEF">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.2提前竣工的奖励</w:t>
      </w:r>
      <w:r>
        <w:rPr>
          <w:rFonts w:hint="eastAsia" w:ascii="宋体" w:hAnsi="宋体" w:cs="宋体"/>
          <w:color w:val="auto"/>
          <w:sz w:val="21"/>
          <w:szCs w:val="21"/>
          <w:highlight w:val="none"/>
          <w:lang w:eastAsia="zh-CN"/>
        </w:rPr>
        <w:t>：</w:t>
      </w:r>
    </w:p>
    <w:p w14:paraId="5F9945FC">
      <w:pPr>
        <w:pStyle w:val="2"/>
        <w:pageBreakBefore w:val="0"/>
        <w:widowControl w:val="0"/>
        <w:kinsoku/>
        <w:wordWrap/>
        <w:overflowPunct/>
        <w:topLinePunct w:val="0"/>
        <w:bidi w:val="0"/>
        <w:spacing w:line="380" w:lineRule="exact"/>
        <w:ind w:left="0" w:leftChars="0" w:firstLine="422" w:firstLineChars="200"/>
        <w:textAlignment w:val="auto"/>
        <w:rPr>
          <w:rFonts w:hint="eastAsia" w:ascii="宋体" w:hAnsi="宋体" w:eastAsia="宋体" w:cs="宋体"/>
          <w:color w:val="auto"/>
          <w:sz w:val="21"/>
          <w:szCs w:val="21"/>
          <w:highlight w:val="none"/>
          <w:lang w:eastAsia="zh-CN"/>
        </w:rPr>
      </w:pPr>
      <w:bookmarkStart w:id="239" w:name="_Toc351203640"/>
      <w:r>
        <w:rPr>
          <w:rFonts w:hint="eastAsia" w:ascii="宋体" w:hAnsi="宋体" w:eastAsia="宋体" w:cs="宋体"/>
          <w:color w:val="auto"/>
          <w:sz w:val="21"/>
          <w:szCs w:val="21"/>
          <w:highlight w:val="none"/>
          <w:lang w:eastAsia="zh-CN"/>
        </w:rPr>
        <w:t>8. 材料与设备</w:t>
      </w:r>
      <w:bookmarkEnd w:id="239"/>
    </w:p>
    <w:bookmarkEnd w:id="160"/>
    <w:bookmarkEnd w:id="161"/>
    <w:bookmarkEnd w:id="162"/>
    <w:bookmarkEnd w:id="163"/>
    <w:bookmarkEnd w:id="164"/>
    <w:bookmarkEnd w:id="165"/>
    <w:bookmarkEnd w:id="166"/>
    <w:bookmarkEnd w:id="167"/>
    <w:bookmarkEnd w:id="168"/>
    <w:bookmarkEnd w:id="169"/>
    <w:p w14:paraId="40A864D1">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bookmarkStart w:id="240" w:name="_Toc296503167"/>
      <w:bookmarkStart w:id="241" w:name="_Toc280868654"/>
      <w:bookmarkStart w:id="242" w:name="_Toc300934979"/>
      <w:bookmarkStart w:id="243" w:name="_Toc297216186"/>
      <w:bookmarkStart w:id="244" w:name="_Toc297048353"/>
      <w:bookmarkStart w:id="245" w:name="_Toc292559372"/>
      <w:bookmarkStart w:id="246" w:name="_Toc297120467"/>
      <w:bookmarkStart w:id="247" w:name="_Toc297123527"/>
      <w:bookmarkStart w:id="248" w:name="_Toc304295556"/>
      <w:bookmarkStart w:id="249" w:name="_Toc296944506"/>
      <w:bookmarkStart w:id="250" w:name="_Toc296347166"/>
      <w:bookmarkStart w:id="251" w:name="_Toc296890995"/>
      <w:bookmarkStart w:id="252" w:name="_Toc296891207"/>
      <w:bookmarkStart w:id="253" w:name="_Toc292559877"/>
      <w:bookmarkStart w:id="254" w:name="_Toc296346668"/>
      <w:bookmarkStart w:id="255" w:name="_Toc312678019"/>
      <w:bookmarkStart w:id="256" w:name="_Toc303539136"/>
      <w:bookmarkStart w:id="257" w:name="_Toc312677493"/>
      <w:bookmarkStart w:id="258" w:name="_Toc267251424"/>
      <w:bookmarkStart w:id="259" w:name="_Toc280868656"/>
      <w:bookmarkStart w:id="260" w:name="_Toc280868655"/>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材料与工程设备的保管与使用</w:t>
      </w:r>
    </w:p>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14:paraId="212111FC">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bookmarkStart w:id="261" w:name="_Toc292559373"/>
      <w:bookmarkStart w:id="262" w:name="_Toc292559878"/>
      <w:bookmarkStart w:id="263" w:name="_Toc296346669"/>
      <w:bookmarkStart w:id="264" w:name="_Toc304295557"/>
      <w:bookmarkStart w:id="265" w:name="_Toc312677494"/>
      <w:bookmarkStart w:id="266" w:name="_Toc296347167"/>
      <w:bookmarkStart w:id="267" w:name="_Toc318581173"/>
      <w:bookmarkStart w:id="268" w:name="_Toc296890996"/>
      <w:bookmarkStart w:id="269" w:name="_Toc300934980"/>
      <w:bookmarkStart w:id="270" w:name="_Toc297048354"/>
      <w:bookmarkStart w:id="271" w:name="_Toc296891208"/>
      <w:bookmarkStart w:id="272" w:name="_Toc303539137"/>
      <w:bookmarkStart w:id="273" w:name="_Toc296944507"/>
      <w:bookmarkStart w:id="274" w:name="_Toc296503168"/>
      <w:bookmarkStart w:id="275" w:name="_Toc297120468"/>
      <w:bookmarkStart w:id="276" w:name="_Toc312678020"/>
      <w:bookmarkStart w:id="277" w:name="_Toc297216187"/>
      <w:bookmarkStart w:id="278" w:name="_Toc297123528"/>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.1发包人供应的材料设备的保管费用的承担：</w:t>
      </w:r>
      <w:r>
        <w:rPr>
          <w:rFonts w:hint="eastAsia" w:ascii="宋体" w:hAnsi="宋体" w:eastAsia="宋体" w:cs="宋体"/>
          <w:color w:val="auto"/>
          <w:sz w:val="21"/>
          <w:szCs w:val="21"/>
          <w:highlight w:val="none"/>
          <w:u w:val="single"/>
        </w:rPr>
        <w:t>承包人在投标时已综合考虑，已包含在发包价内，发包人不再额外予以补偿</w:t>
      </w:r>
      <w:r>
        <w:rPr>
          <w:rFonts w:hint="eastAsia" w:ascii="宋体" w:hAnsi="宋体" w:eastAsia="宋体" w:cs="宋体"/>
          <w:color w:val="auto"/>
          <w:sz w:val="21"/>
          <w:szCs w:val="21"/>
          <w:highlight w:val="none"/>
        </w:rPr>
        <w:t>。</w:t>
      </w:r>
      <w:bookmarkEnd w:id="261"/>
      <w:bookmarkEnd w:id="262"/>
    </w:p>
    <w:p w14:paraId="00F97606">
      <w:pPr>
        <w:pageBreakBefore w:val="0"/>
        <w:widowControl w:val="0"/>
        <w:kinsoku/>
        <w:wordWrap/>
        <w:overflowPunct/>
        <w:topLinePunct w:val="0"/>
        <w:bidi w:val="0"/>
        <w:spacing w:line="380" w:lineRule="exact"/>
        <w:ind w:left="0" w:leftChars="0" w:firstLine="420" w:firstLineChars="200"/>
        <w:textAlignment w:val="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样品</w:t>
      </w:r>
    </w:p>
    <w:p w14:paraId="74C070FB">
      <w:pPr>
        <w:pageBreakBefore w:val="0"/>
        <w:widowControl w:val="0"/>
        <w:kinsoku/>
        <w:wordWrap/>
        <w:overflowPunct/>
        <w:topLinePunct w:val="0"/>
        <w:autoSpaceDE w:val="0"/>
        <w:autoSpaceDN w:val="0"/>
        <w:bidi w:val="0"/>
        <w:adjustRightInd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w:t>
      </w: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.1样品的报送与封存</w:t>
      </w:r>
    </w:p>
    <w:p w14:paraId="494A9B24">
      <w:pPr>
        <w:pageBreakBefore w:val="0"/>
        <w:widowControl w:val="0"/>
        <w:kinsoku/>
        <w:wordWrap/>
        <w:overflowPunct/>
        <w:topLinePunct w:val="0"/>
        <w:autoSpaceDE w:val="0"/>
        <w:autoSpaceDN w:val="0"/>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需要承包人报送样品的材料或工程设备，样品的种类、名称、规格、数量要求：</w:t>
      </w:r>
      <w:r>
        <w:rPr>
          <w:rFonts w:hint="eastAsia" w:ascii="宋体" w:hAnsi="宋体" w:eastAsia="宋体" w:cs="宋体"/>
          <w:color w:val="auto"/>
          <w:sz w:val="21"/>
          <w:szCs w:val="21"/>
          <w:highlight w:val="none"/>
          <w:u w:val="single"/>
        </w:rPr>
        <w:t>按有关规定和发包人要求执行。</w:t>
      </w:r>
    </w:p>
    <w:p w14:paraId="5D042B17">
      <w:pPr>
        <w:pageBreakBefore w:val="0"/>
        <w:widowControl w:val="0"/>
        <w:kinsoku/>
        <w:wordWrap/>
        <w:overflowPunct/>
        <w:topLinePunct w:val="0"/>
        <w:autoSpaceDE w:val="0"/>
        <w:autoSpaceDN w:val="0"/>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（1）用于本工程之任何材料或设备，承包人应提供样本作认可之用，使用前必须得到发包人、监理人认可或批准。发包人、监理人对任何样本之认可或批准，并不会解除承包人按合同须履行之责任；</w:t>
      </w:r>
    </w:p>
    <w:p w14:paraId="6F1DAB09">
      <w:pPr>
        <w:pageBreakBefore w:val="0"/>
        <w:widowControl w:val="0"/>
        <w:kinsoku/>
        <w:wordWrap/>
        <w:overflowPunct/>
        <w:topLinePunct w:val="0"/>
        <w:autoSpaceDE w:val="0"/>
        <w:autoSpaceDN w:val="0"/>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（2）如发包人、监理人要求承包人提供不少于三家或三家以上的材料或设备品牌供选择或考察时，承包人须无条件执行且推荐品牌质量在同类或同行中为优等品；</w:t>
      </w:r>
    </w:p>
    <w:p w14:paraId="1846E48A">
      <w:pPr>
        <w:pageBreakBefore w:val="0"/>
        <w:widowControl w:val="0"/>
        <w:kinsoku/>
        <w:wordWrap/>
        <w:overflowPunct/>
        <w:topLinePunct w:val="0"/>
        <w:autoSpaceDE w:val="0"/>
        <w:autoSpaceDN w:val="0"/>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（3）承包人应在</w:t>
      </w:r>
      <w:r>
        <w:rPr>
          <w:rFonts w:hint="eastAsia" w:ascii="宋体" w:hAnsi="宋体" w:cs="宋体"/>
          <w:color w:val="auto"/>
          <w:sz w:val="21"/>
          <w:szCs w:val="21"/>
          <w:highlight w:val="none"/>
          <w:u w:val="single"/>
          <w:lang w:eastAsia="zh-CN"/>
        </w:rPr>
        <w:t>响应文件</w:t>
      </w:r>
      <w:r>
        <w:rPr>
          <w:rFonts w:hint="eastAsia" w:ascii="宋体" w:hAnsi="宋体" w:eastAsia="宋体" w:cs="宋体"/>
          <w:color w:val="auto"/>
          <w:sz w:val="21"/>
          <w:szCs w:val="21"/>
          <w:highlight w:val="none"/>
          <w:u w:val="single"/>
        </w:rPr>
        <w:t>中明确材料或设备所选的品牌、厂家，如果承包人在</w:t>
      </w:r>
      <w:r>
        <w:rPr>
          <w:rFonts w:hint="eastAsia" w:ascii="宋体" w:hAnsi="宋体" w:cs="宋体"/>
          <w:color w:val="auto"/>
          <w:sz w:val="21"/>
          <w:szCs w:val="21"/>
          <w:highlight w:val="none"/>
          <w:u w:val="single"/>
          <w:lang w:eastAsia="zh-CN"/>
        </w:rPr>
        <w:t>响应文件</w:t>
      </w:r>
      <w:r>
        <w:rPr>
          <w:rFonts w:hint="eastAsia" w:ascii="宋体" w:hAnsi="宋体" w:eastAsia="宋体" w:cs="宋体"/>
          <w:color w:val="auto"/>
          <w:sz w:val="21"/>
          <w:szCs w:val="21"/>
          <w:highlight w:val="none"/>
          <w:u w:val="single"/>
        </w:rPr>
        <w:t>中没有明确选用何种品牌，发包人可以指定其他任一品牌厂家，且合同价格不予调整；</w:t>
      </w:r>
    </w:p>
    <w:p w14:paraId="1ADE2FAC">
      <w:pPr>
        <w:pageBreakBefore w:val="0"/>
        <w:widowControl w:val="0"/>
        <w:kinsoku/>
        <w:wordWrap/>
        <w:overflowPunct/>
        <w:topLinePunct w:val="0"/>
        <w:autoSpaceDE w:val="0"/>
        <w:autoSpaceDN w:val="0"/>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p>
    <w:p w14:paraId="11075E19">
      <w:pPr>
        <w:pageBreakBefore w:val="0"/>
        <w:widowControl w:val="0"/>
        <w:kinsoku/>
        <w:wordWrap/>
        <w:overflowPunct/>
        <w:topLinePunct w:val="0"/>
        <w:autoSpaceDE w:val="0"/>
        <w:autoSpaceDN w:val="0"/>
        <w:bidi w:val="0"/>
        <w:adjustRightInd w:val="0"/>
        <w:spacing w:line="38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（5）发包人有权对承包人的材料采购环节进行监控，对此承包人不得拒绝。相关风险承包人在投标时需综合考虑，已包含在发包价内</w:t>
      </w:r>
      <w:r>
        <w:rPr>
          <w:rFonts w:hint="eastAsia" w:ascii="宋体" w:hAnsi="宋体" w:eastAsia="宋体" w:cs="宋体"/>
          <w:color w:val="auto"/>
          <w:sz w:val="21"/>
          <w:szCs w:val="21"/>
          <w:highlight w:val="none"/>
        </w:rPr>
        <w:t>。</w:t>
      </w:r>
    </w:p>
    <w:p w14:paraId="7DD4E2B5">
      <w:pPr>
        <w:pageBreakBefore w:val="0"/>
        <w:widowControl w:val="0"/>
        <w:kinsoku/>
        <w:wordWrap/>
        <w:overflowPunct/>
        <w:topLinePunct w:val="0"/>
        <w:bidi w:val="0"/>
        <w:spacing w:line="380" w:lineRule="exact"/>
        <w:ind w:left="0" w:leftChars="0" w:firstLine="420" w:firstLineChars="200"/>
        <w:textAlignment w:val="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施工设备和临时设施</w:t>
      </w:r>
    </w:p>
    <w:p w14:paraId="3CCC939C">
      <w:pPr>
        <w:pageBreakBefore w:val="0"/>
        <w:widowControl w:val="0"/>
        <w:kinsoku/>
        <w:wordWrap/>
        <w:overflowPunct/>
        <w:topLinePunct w:val="0"/>
        <w:autoSpaceDE w:val="0"/>
        <w:autoSpaceDN w:val="0"/>
        <w:bidi w:val="0"/>
        <w:adjustRightInd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.1 承包人提供的施工设备和临时设施</w:t>
      </w:r>
    </w:p>
    <w:p w14:paraId="5A2DAB00">
      <w:pPr>
        <w:pageBreakBefore w:val="0"/>
        <w:widowControl w:val="0"/>
        <w:kinsoku/>
        <w:wordWrap/>
        <w:overflowPunct/>
        <w:topLinePunct w:val="0"/>
        <w:autoSpaceDE w:val="0"/>
        <w:autoSpaceDN w:val="0"/>
        <w:bidi w:val="0"/>
        <w:adjustRightInd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关于修建临时设施费用承担的约定：</w:t>
      </w:r>
      <w:r>
        <w:rPr>
          <w:rFonts w:hint="eastAsia" w:ascii="宋体" w:hAnsi="宋体" w:eastAsia="宋体" w:cs="宋体"/>
          <w:color w:val="auto"/>
          <w:sz w:val="21"/>
          <w:szCs w:val="21"/>
          <w:highlight w:val="none"/>
          <w:u w:val="single"/>
        </w:rPr>
        <w:t xml:space="preserve">费用由中标单位承担 </w:t>
      </w:r>
      <w:r>
        <w:rPr>
          <w:rFonts w:hint="eastAsia" w:ascii="宋体" w:hAnsi="宋体" w:eastAsia="宋体" w:cs="宋体"/>
          <w:color w:val="auto"/>
          <w:sz w:val="21"/>
          <w:szCs w:val="21"/>
          <w:highlight w:val="none"/>
        </w:rPr>
        <w:t>。</w:t>
      </w:r>
    </w:p>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14:paraId="7CA9D497">
      <w:pPr>
        <w:pStyle w:val="2"/>
        <w:pageBreakBefore w:val="0"/>
        <w:widowControl w:val="0"/>
        <w:kinsoku/>
        <w:wordWrap/>
        <w:overflowPunct/>
        <w:topLinePunct w:val="0"/>
        <w:bidi w:val="0"/>
        <w:spacing w:line="380" w:lineRule="exact"/>
        <w:ind w:left="0" w:leftChars="0" w:firstLine="422" w:firstLineChars="200"/>
        <w:textAlignment w:val="auto"/>
        <w:rPr>
          <w:rFonts w:hint="eastAsia" w:ascii="宋体" w:hAnsi="宋体" w:eastAsia="宋体" w:cs="宋体"/>
          <w:color w:val="auto"/>
          <w:sz w:val="21"/>
          <w:szCs w:val="21"/>
          <w:highlight w:val="none"/>
          <w:lang w:eastAsia="zh-CN"/>
        </w:rPr>
      </w:pPr>
      <w:bookmarkStart w:id="279" w:name="_Toc351203641"/>
      <w:r>
        <w:rPr>
          <w:rFonts w:hint="eastAsia" w:ascii="宋体" w:hAnsi="宋体" w:eastAsia="宋体" w:cs="宋体"/>
          <w:color w:val="auto"/>
          <w:sz w:val="21"/>
          <w:szCs w:val="21"/>
          <w:highlight w:val="none"/>
          <w:lang w:eastAsia="zh-CN"/>
        </w:rPr>
        <w:t>9</w:t>
      </w:r>
      <w:bookmarkEnd w:id="258"/>
      <w:bookmarkEnd w:id="259"/>
      <w:bookmarkEnd w:id="260"/>
      <w:bookmarkStart w:id="280" w:name="_Toc300934982"/>
      <w:bookmarkStart w:id="281" w:name="_Toc312678021"/>
      <w:bookmarkStart w:id="282" w:name="_Toc312677495"/>
      <w:bookmarkStart w:id="283" w:name="_Toc304295559"/>
      <w:bookmarkStart w:id="284" w:name="_Toc297123533"/>
      <w:bookmarkStart w:id="285" w:name="_Toc297216192"/>
      <w:bookmarkStart w:id="286" w:name="_Toc303539139"/>
      <w:bookmarkStart w:id="287" w:name="_Toc297048359"/>
      <w:bookmarkStart w:id="288" w:name="_Toc267251428"/>
      <w:bookmarkStart w:id="289" w:name="_Toc292559883"/>
      <w:bookmarkStart w:id="290" w:name="_Toc296891001"/>
      <w:bookmarkStart w:id="291" w:name="_Toc296944512"/>
      <w:bookmarkStart w:id="292" w:name="_Toc296503173"/>
      <w:bookmarkStart w:id="293" w:name="_Toc297120473"/>
      <w:bookmarkStart w:id="294" w:name="_Toc267251427"/>
      <w:bookmarkStart w:id="295" w:name="_Toc296346674"/>
      <w:bookmarkStart w:id="296" w:name="_Toc296347172"/>
      <w:bookmarkStart w:id="297" w:name="_Toc292559378"/>
      <w:bookmarkStart w:id="298" w:name="_Toc296891213"/>
      <w:r>
        <w:rPr>
          <w:rFonts w:hint="eastAsia" w:ascii="宋体" w:hAnsi="宋体" w:eastAsia="宋体" w:cs="宋体"/>
          <w:color w:val="auto"/>
          <w:sz w:val="21"/>
          <w:szCs w:val="21"/>
          <w:highlight w:val="none"/>
          <w:lang w:eastAsia="zh-CN"/>
        </w:rPr>
        <w:t>. 试验与检验</w:t>
      </w:r>
      <w:bookmarkEnd w:id="279"/>
    </w:p>
    <w:bookmarkEnd w:id="280"/>
    <w:bookmarkEnd w:id="281"/>
    <w:bookmarkEnd w:id="282"/>
    <w:bookmarkEnd w:id="283"/>
    <w:bookmarkEnd w:id="284"/>
    <w:bookmarkEnd w:id="285"/>
    <w:bookmarkEnd w:id="286"/>
    <w:p w14:paraId="5C8ABC31">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bookmarkStart w:id="299" w:name="_Toc312678022"/>
      <w:bookmarkStart w:id="300" w:name="_Toc312677496"/>
      <w:bookmarkStart w:id="301" w:name="_Toc300934983"/>
      <w:bookmarkStart w:id="302" w:name="_Toc304295560"/>
      <w:bookmarkStart w:id="303" w:name="_Toc297216193"/>
      <w:bookmarkStart w:id="304" w:name="_Toc303539140"/>
      <w:bookmarkStart w:id="305" w:name="_Toc297123534"/>
      <w:r>
        <w:rPr>
          <w:rFonts w:hint="eastAsia" w:ascii="宋体" w:hAnsi="宋体" w:eastAsia="宋体" w:cs="宋体"/>
          <w:color w:val="auto"/>
          <w:sz w:val="21"/>
          <w:szCs w:val="21"/>
          <w:highlight w:val="none"/>
        </w:rPr>
        <w:t>.1试验设备与试验人员</w:t>
      </w:r>
    </w:p>
    <w:bookmarkEnd w:id="299"/>
    <w:bookmarkEnd w:id="300"/>
    <w:bookmarkEnd w:id="301"/>
    <w:bookmarkEnd w:id="302"/>
    <w:bookmarkEnd w:id="303"/>
    <w:bookmarkEnd w:id="304"/>
    <w:bookmarkEnd w:id="305"/>
    <w:p w14:paraId="36D9D4E7">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bookmarkStart w:id="306" w:name="_Toc297216194"/>
      <w:bookmarkStart w:id="307" w:name="_Toc297123535"/>
      <w:bookmarkStart w:id="308" w:name="_Toc312678023"/>
      <w:bookmarkStart w:id="309" w:name="_Toc312677497"/>
      <w:bookmarkStart w:id="310" w:name="_Toc303539141"/>
      <w:bookmarkStart w:id="311" w:name="_Toc304295561"/>
      <w:bookmarkStart w:id="312" w:name="_Toc300934984"/>
      <w:bookmarkStart w:id="313" w:name="_Toc318581174"/>
      <w:r>
        <w:rPr>
          <w:rFonts w:hint="eastAsia" w:ascii="宋体" w:hAnsi="宋体" w:eastAsia="宋体" w:cs="宋体"/>
          <w:color w:val="auto"/>
          <w:sz w:val="21"/>
          <w:szCs w:val="21"/>
          <w:highlight w:val="none"/>
        </w:rPr>
        <w:t>.1.2 试验设备</w:t>
      </w:r>
    </w:p>
    <w:bookmarkEnd w:id="306"/>
    <w:bookmarkEnd w:id="307"/>
    <w:bookmarkEnd w:id="308"/>
    <w:bookmarkEnd w:id="309"/>
    <w:bookmarkEnd w:id="310"/>
    <w:bookmarkEnd w:id="311"/>
    <w:bookmarkEnd w:id="312"/>
    <w:bookmarkEnd w:id="313"/>
    <w:p w14:paraId="0CCD8B6E">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b w:val="0"/>
          <w:bCs w:val="0"/>
          <w:color w:val="auto"/>
          <w:sz w:val="21"/>
          <w:szCs w:val="21"/>
          <w:highlight w:val="none"/>
        </w:rPr>
      </w:pPr>
      <w:bookmarkStart w:id="314" w:name="_Toc351203642"/>
      <w:r>
        <w:rPr>
          <w:rFonts w:hint="eastAsia" w:ascii="宋体" w:hAnsi="宋体" w:eastAsia="宋体" w:cs="宋体"/>
          <w:color w:val="auto"/>
          <w:sz w:val="21"/>
          <w:szCs w:val="21"/>
          <w:highlight w:val="none"/>
        </w:rPr>
        <w:t>施工现场需要配置的试验场所：</w:t>
      </w:r>
      <w:r>
        <w:rPr>
          <w:rFonts w:hint="eastAsia" w:ascii="宋体" w:hAnsi="宋体" w:eastAsia="宋体" w:cs="宋体"/>
          <w:color w:val="auto"/>
          <w:sz w:val="21"/>
          <w:szCs w:val="21"/>
          <w:highlight w:val="none"/>
          <w:u w:val="single"/>
        </w:rPr>
        <w:t>按现行相关规定、质监部门的有关要求及监理</w:t>
      </w:r>
      <w:r>
        <w:rPr>
          <w:rFonts w:hint="eastAsia" w:ascii="宋体" w:hAnsi="宋体" w:eastAsia="宋体" w:cs="宋体"/>
          <w:color w:val="auto"/>
          <w:sz w:val="21"/>
          <w:szCs w:val="21"/>
          <w:highlight w:val="none"/>
          <w:u w:val="single"/>
          <w:lang w:eastAsia="zh-CN"/>
        </w:rPr>
        <w:t>人员</w:t>
      </w:r>
      <w:r>
        <w:rPr>
          <w:rFonts w:hint="eastAsia" w:ascii="宋体" w:hAnsi="宋体" w:eastAsia="宋体" w:cs="宋体"/>
          <w:color w:val="auto"/>
          <w:sz w:val="21"/>
          <w:szCs w:val="21"/>
          <w:highlight w:val="none"/>
          <w:u w:val="single"/>
        </w:rPr>
        <w:t>指示进行配</w:t>
      </w:r>
      <w:r>
        <w:rPr>
          <w:rFonts w:hint="eastAsia" w:ascii="宋体" w:hAnsi="宋体" w:eastAsia="宋体" w:cs="宋体"/>
          <w:b w:val="0"/>
          <w:bCs w:val="0"/>
          <w:color w:val="auto"/>
          <w:sz w:val="21"/>
          <w:szCs w:val="21"/>
          <w:highlight w:val="none"/>
          <w:u w:val="single"/>
        </w:rPr>
        <w:t xml:space="preserve">置 </w:t>
      </w:r>
      <w:r>
        <w:rPr>
          <w:rFonts w:hint="eastAsia" w:ascii="宋体" w:hAnsi="宋体" w:eastAsia="宋体" w:cs="宋体"/>
          <w:b w:val="0"/>
          <w:bCs w:val="0"/>
          <w:color w:val="auto"/>
          <w:sz w:val="21"/>
          <w:szCs w:val="21"/>
          <w:highlight w:val="none"/>
        </w:rPr>
        <w:t xml:space="preserve">。 </w:t>
      </w:r>
    </w:p>
    <w:p w14:paraId="49902AB1">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施工现场需要配备的试验设备：</w:t>
      </w:r>
      <w:r>
        <w:rPr>
          <w:rFonts w:hint="eastAsia" w:ascii="宋体" w:hAnsi="宋体" w:eastAsia="宋体" w:cs="宋体"/>
          <w:b w:val="0"/>
          <w:bCs w:val="0"/>
          <w:color w:val="auto"/>
          <w:sz w:val="21"/>
          <w:szCs w:val="21"/>
          <w:highlight w:val="none"/>
          <w:u w:val="single"/>
        </w:rPr>
        <w:t>按现行相关规定、质监部门的有关要求及监理</w:t>
      </w:r>
      <w:r>
        <w:rPr>
          <w:rFonts w:hint="eastAsia" w:ascii="宋体" w:hAnsi="宋体" w:eastAsia="宋体" w:cs="宋体"/>
          <w:b w:val="0"/>
          <w:bCs w:val="0"/>
          <w:color w:val="auto"/>
          <w:sz w:val="21"/>
          <w:szCs w:val="21"/>
          <w:highlight w:val="none"/>
          <w:u w:val="single"/>
          <w:lang w:eastAsia="zh-CN"/>
        </w:rPr>
        <w:t>人员</w:t>
      </w:r>
      <w:r>
        <w:rPr>
          <w:rFonts w:hint="eastAsia" w:ascii="宋体" w:hAnsi="宋体" w:eastAsia="宋体" w:cs="宋体"/>
          <w:b w:val="0"/>
          <w:bCs w:val="0"/>
          <w:color w:val="auto"/>
          <w:sz w:val="21"/>
          <w:szCs w:val="21"/>
          <w:highlight w:val="none"/>
          <w:u w:val="single"/>
        </w:rPr>
        <w:t xml:space="preserve">指示进行配置 </w:t>
      </w:r>
      <w:r>
        <w:rPr>
          <w:rFonts w:hint="eastAsia" w:ascii="宋体" w:hAnsi="宋体" w:eastAsia="宋体" w:cs="宋体"/>
          <w:b w:val="0"/>
          <w:bCs w:val="0"/>
          <w:color w:val="auto"/>
          <w:sz w:val="21"/>
          <w:szCs w:val="21"/>
          <w:highlight w:val="none"/>
        </w:rPr>
        <w:t xml:space="preserve">。 </w:t>
      </w:r>
    </w:p>
    <w:p w14:paraId="7655E8C7">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施工现场需要具备的其他试验条件：</w:t>
      </w:r>
      <w:r>
        <w:rPr>
          <w:rFonts w:hint="eastAsia" w:ascii="宋体" w:hAnsi="宋体" w:eastAsia="宋体" w:cs="宋体"/>
          <w:b w:val="0"/>
          <w:bCs w:val="0"/>
          <w:color w:val="auto"/>
          <w:sz w:val="21"/>
          <w:szCs w:val="21"/>
          <w:highlight w:val="none"/>
          <w:u w:val="single"/>
        </w:rPr>
        <w:t xml:space="preserve">按现行相关规定、质监部门的有关要求及监理人指示进行配置 </w:t>
      </w:r>
      <w:r>
        <w:rPr>
          <w:rFonts w:hint="eastAsia" w:ascii="宋体" w:hAnsi="宋体" w:eastAsia="宋体" w:cs="宋体"/>
          <w:b w:val="0"/>
          <w:bCs w:val="0"/>
          <w:color w:val="auto"/>
          <w:sz w:val="21"/>
          <w:szCs w:val="21"/>
          <w:highlight w:val="none"/>
        </w:rPr>
        <w:t xml:space="preserve">。 </w:t>
      </w:r>
    </w:p>
    <w:p w14:paraId="61D4118F">
      <w:pPr>
        <w:pageBreakBefore w:val="0"/>
        <w:widowControl w:val="0"/>
        <w:kinsoku/>
        <w:wordWrap/>
        <w:overflowPunct/>
        <w:topLinePunct w:val="0"/>
        <w:bidi w:val="0"/>
        <w:spacing w:line="380" w:lineRule="exact"/>
        <w:ind w:left="0" w:leftChars="0" w:firstLine="420" w:firstLineChars="200"/>
        <w:textAlignment w:val="auto"/>
        <w:outlineLvl w:val="0"/>
        <w:rPr>
          <w:rFonts w:hint="eastAsia" w:ascii="宋体" w:hAnsi="宋体" w:eastAsia="宋体" w:cs="宋体"/>
          <w:b w:val="0"/>
          <w:bCs w:val="0"/>
          <w:color w:val="auto"/>
          <w:sz w:val="21"/>
          <w:szCs w:val="21"/>
          <w:highlight w:val="none"/>
        </w:rPr>
      </w:pPr>
      <w:bookmarkStart w:id="315" w:name="_Toc7613"/>
      <w:bookmarkStart w:id="316" w:name="_Toc6537"/>
      <w:r>
        <w:rPr>
          <w:rFonts w:hint="eastAsia" w:ascii="宋体" w:hAnsi="宋体" w:eastAsia="宋体" w:cs="宋体"/>
          <w:b w:val="0"/>
          <w:bCs w:val="0"/>
          <w:color w:val="auto"/>
          <w:sz w:val="21"/>
          <w:szCs w:val="21"/>
          <w:highlight w:val="none"/>
        </w:rPr>
        <w:t>9.</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 xml:space="preserve"> 现场工艺试验</w:t>
      </w:r>
      <w:bookmarkEnd w:id="315"/>
      <w:bookmarkEnd w:id="316"/>
      <w:r>
        <w:rPr>
          <w:rFonts w:hint="eastAsia" w:ascii="宋体" w:hAnsi="宋体" w:eastAsia="宋体" w:cs="宋体"/>
          <w:b w:val="0"/>
          <w:bCs w:val="0"/>
          <w:color w:val="auto"/>
          <w:sz w:val="21"/>
          <w:szCs w:val="21"/>
          <w:highlight w:val="none"/>
        </w:rPr>
        <w:t xml:space="preserve"> </w:t>
      </w:r>
    </w:p>
    <w:p w14:paraId="76072E61">
      <w:pPr>
        <w:pStyle w:val="2"/>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现场工艺试验的有关约定：</w:t>
      </w:r>
      <w:r>
        <w:rPr>
          <w:rFonts w:hint="eastAsia" w:ascii="宋体" w:hAnsi="宋体" w:eastAsia="宋体" w:cs="宋体"/>
          <w:b w:val="0"/>
          <w:bCs w:val="0"/>
          <w:color w:val="auto"/>
          <w:kern w:val="2"/>
          <w:sz w:val="21"/>
          <w:szCs w:val="21"/>
          <w:highlight w:val="none"/>
          <w:u w:val="single"/>
          <w:lang w:val="en-US" w:eastAsia="zh-CN" w:bidi="ar-SA"/>
        </w:rPr>
        <w:t xml:space="preserve">按通用合同条款执行 </w:t>
      </w:r>
    </w:p>
    <w:p w14:paraId="383AD3E9">
      <w:pPr>
        <w:pStyle w:val="2"/>
        <w:pageBreakBefore w:val="0"/>
        <w:widowControl w:val="0"/>
        <w:kinsoku/>
        <w:wordWrap/>
        <w:overflowPunct/>
        <w:topLinePunct w:val="0"/>
        <w:bidi w:val="0"/>
        <w:spacing w:line="380" w:lineRule="exact"/>
        <w:ind w:left="0" w:leftChars="0" w:firstLine="422"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w:t>
      </w:r>
      <w:bookmarkEnd w:id="287"/>
      <w:bookmarkEnd w:id="288"/>
      <w:bookmarkEnd w:id="289"/>
      <w:bookmarkEnd w:id="290"/>
      <w:bookmarkEnd w:id="291"/>
      <w:bookmarkEnd w:id="292"/>
      <w:bookmarkEnd w:id="293"/>
      <w:bookmarkEnd w:id="294"/>
      <w:bookmarkEnd w:id="295"/>
      <w:bookmarkEnd w:id="296"/>
      <w:bookmarkEnd w:id="297"/>
      <w:bookmarkEnd w:id="298"/>
      <w:bookmarkStart w:id="317" w:name="_Toc296346694"/>
      <w:bookmarkStart w:id="318" w:name="_Toc296347192"/>
      <w:bookmarkStart w:id="319" w:name="_Toc296891233"/>
      <w:bookmarkStart w:id="320" w:name="_Toc297048379"/>
      <w:bookmarkStart w:id="321" w:name="_Toc304295566"/>
      <w:bookmarkStart w:id="322" w:name="_Toc296503193"/>
      <w:bookmarkStart w:id="323" w:name="_Toc297123540"/>
      <w:bookmarkStart w:id="324" w:name="_Toc300934989"/>
      <w:bookmarkStart w:id="325" w:name="_Toc296891021"/>
      <w:bookmarkStart w:id="326" w:name="_Toc297216199"/>
      <w:bookmarkStart w:id="327" w:name="_Toc292559903"/>
      <w:bookmarkStart w:id="328" w:name="_Toc292559398"/>
      <w:bookmarkStart w:id="329" w:name="_Toc296944532"/>
      <w:bookmarkStart w:id="330" w:name="_Toc297120493"/>
      <w:bookmarkStart w:id="331" w:name="_Toc303539146"/>
      <w:bookmarkStart w:id="332" w:name="_Toc312678025"/>
      <w:bookmarkStart w:id="333" w:name="_Toc312677499"/>
      <w:bookmarkStart w:id="334" w:name="_Toc267251439"/>
      <w:bookmarkStart w:id="335" w:name="_Toc267251437"/>
      <w:bookmarkStart w:id="336" w:name="_Toc267251435"/>
      <w:bookmarkStart w:id="337" w:name="_Toc267251433"/>
      <w:bookmarkStart w:id="338" w:name="_Toc267251441"/>
      <w:bookmarkStart w:id="339" w:name="_Toc267251440"/>
      <w:bookmarkStart w:id="340" w:name="_Toc267251442"/>
      <w:r>
        <w:rPr>
          <w:rFonts w:hint="eastAsia" w:ascii="宋体" w:hAnsi="宋体" w:eastAsia="宋体" w:cs="宋体"/>
          <w:color w:val="auto"/>
          <w:sz w:val="21"/>
          <w:szCs w:val="21"/>
          <w:highlight w:val="none"/>
          <w:lang w:eastAsia="zh-CN"/>
        </w:rPr>
        <w:t>0. 变更</w:t>
      </w:r>
      <w:bookmarkEnd w:id="314"/>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p>
    <w:bookmarkEnd w:id="332"/>
    <w:bookmarkEnd w:id="333"/>
    <w:p w14:paraId="699FCBA5">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341" w:name="_Toc296891234"/>
      <w:bookmarkStart w:id="342" w:name="_Toc297048380"/>
      <w:bookmarkStart w:id="343" w:name="_Toc292559904"/>
      <w:bookmarkStart w:id="344" w:name="_Toc297216200"/>
      <w:bookmarkStart w:id="345" w:name="_Toc296944533"/>
      <w:bookmarkStart w:id="346" w:name="_Toc296891022"/>
      <w:bookmarkStart w:id="347" w:name="_Toc297123541"/>
      <w:bookmarkStart w:id="348" w:name="_Toc292559399"/>
      <w:bookmarkStart w:id="349" w:name="_Toc297120494"/>
      <w:bookmarkStart w:id="350" w:name="_Toc304295567"/>
      <w:bookmarkStart w:id="351" w:name="_Toc296346695"/>
      <w:bookmarkStart w:id="352" w:name="_Toc303539147"/>
      <w:bookmarkStart w:id="353" w:name="_Toc300934990"/>
      <w:bookmarkStart w:id="354" w:name="_Toc312677500"/>
      <w:bookmarkStart w:id="355" w:name="_Toc296503194"/>
      <w:bookmarkStart w:id="356" w:name="_Toc296347193"/>
      <w:bookmarkStart w:id="357" w:name="_Toc312678026"/>
      <w:r>
        <w:rPr>
          <w:rFonts w:hint="eastAsia" w:ascii="宋体" w:hAnsi="宋体" w:eastAsia="宋体" w:cs="宋体"/>
          <w:color w:val="auto"/>
          <w:sz w:val="21"/>
          <w:szCs w:val="21"/>
          <w:highlight w:val="none"/>
        </w:rPr>
        <w:t>0.1变更的范围</w:t>
      </w:r>
    </w:p>
    <w:p w14:paraId="041226E6">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w:t>
      </w:r>
      <w:r>
        <w:rPr>
          <w:rFonts w:hint="eastAsia" w:ascii="宋体" w:hAnsi="宋体" w:cs="宋体"/>
          <w:color w:val="auto"/>
          <w:sz w:val="21"/>
          <w:szCs w:val="21"/>
          <w:highlight w:val="none"/>
          <w:lang w:eastAsia="zh-CN"/>
        </w:rPr>
        <w:t>变更</w:t>
      </w:r>
      <w:r>
        <w:rPr>
          <w:rFonts w:hint="eastAsia" w:ascii="宋体" w:hAnsi="宋体" w:eastAsia="宋体" w:cs="宋体"/>
          <w:color w:val="auto"/>
          <w:sz w:val="21"/>
          <w:szCs w:val="21"/>
          <w:highlight w:val="none"/>
        </w:rPr>
        <w:t>范围的约定：</w:t>
      </w:r>
      <w:r>
        <w:rPr>
          <w:rFonts w:hint="eastAsia" w:ascii="宋体" w:hAnsi="宋体" w:eastAsia="宋体" w:cs="宋体"/>
          <w:color w:val="auto"/>
          <w:sz w:val="21"/>
          <w:szCs w:val="21"/>
          <w:highlight w:val="none"/>
          <w:u w:val="single"/>
        </w:rPr>
        <w:t>按通用合同条款执行</w:t>
      </w:r>
      <w:r>
        <w:rPr>
          <w:rFonts w:hint="eastAsia" w:ascii="宋体" w:hAnsi="宋体" w:eastAsia="宋体" w:cs="宋体"/>
          <w:color w:val="auto"/>
          <w:sz w:val="21"/>
          <w:szCs w:val="21"/>
          <w:highlight w:val="none"/>
        </w:rPr>
        <w:t>。</w:t>
      </w:r>
    </w:p>
    <w:p w14:paraId="556CA497">
      <w:pPr>
        <w:pageBreakBefore w:val="0"/>
        <w:widowControl w:val="0"/>
        <w:kinsoku/>
        <w:wordWrap/>
        <w:overflowPunct/>
        <w:topLinePunct w:val="0"/>
        <w:bidi w:val="0"/>
        <w:spacing w:line="380" w:lineRule="exact"/>
        <w:ind w:left="0" w:leftChars="0" w:firstLine="420" w:firstLineChars="200"/>
        <w:textAlignment w:val="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变更估价</w:t>
      </w:r>
    </w:p>
    <w:p w14:paraId="12CEC739">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.1 变更估价原则</w:t>
      </w:r>
    </w:p>
    <w:p w14:paraId="1EA14841">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关于变更估价的约定：</w:t>
      </w:r>
      <w:r>
        <w:rPr>
          <w:rFonts w:hint="eastAsia" w:ascii="宋体" w:hAnsi="宋体" w:eastAsia="宋体" w:cs="宋体"/>
          <w:color w:val="auto"/>
          <w:sz w:val="21"/>
          <w:szCs w:val="21"/>
          <w:highlight w:val="none"/>
          <w:u w:val="single"/>
        </w:rPr>
        <w:t xml:space="preserve">同投标报价中人工、材料、机械、管理费、利润以及各项措施项目费用  </w:t>
      </w:r>
      <w:r>
        <w:rPr>
          <w:rFonts w:hint="eastAsia" w:ascii="宋体" w:hAnsi="宋体" w:eastAsia="宋体" w:cs="宋体"/>
          <w:color w:val="auto"/>
          <w:sz w:val="21"/>
          <w:szCs w:val="21"/>
          <w:highlight w:val="none"/>
        </w:rPr>
        <w:t>。</w:t>
      </w:r>
    </w:p>
    <w:p w14:paraId="12B907CC">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Start w:id="358" w:name="_Toc292559907"/>
      <w:bookmarkStart w:id="359" w:name="_Toc297216203"/>
      <w:bookmarkStart w:id="360" w:name="_Toc300934993"/>
      <w:bookmarkStart w:id="361" w:name="_Toc296944536"/>
      <w:bookmarkStart w:id="362" w:name="_Toc297123544"/>
      <w:bookmarkStart w:id="363" w:name="_Toc296503197"/>
      <w:bookmarkStart w:id="364" w:name="_Toc296891025"/>
      <w:bookmarkStart w:id="365" w:name="_Toc296346698"/>
      <w:bookmarkStart w:id="366" w:name="_Toc296891237"/>
      <w:bookmarkStart w:id="367" w:name="_Toc297048383"/>
      <w:bookmarkStart w:id="368" w:name="_Toc292559402"/>
      <w:bookmarkStart w:id="369" w:name="_Toc296347196"/>
      <w:bookmarkStart w:id="370" w:name="_Toc303539150"/>
      <w:bookmarkStart w:id="371" w:name="_Toc297120497"/>
      <w:bookmarkStart w:id="372" w:name="_Toc312678029"/>
      <w:bookmarkStart w:id="373" w:name="_Toc312677503"/>
      <w:bookmarkStart w:id="374" w:name="_Toc304295570"/>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承</w:t>
      </w:r>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Start w:id="375" w:name="_Toc297216204"/>
      <w:bookmarkStart w:id="376" w:name="_Toc297048389"/>
      <w:bookmarkStart w:id="377" w:name="_Toc296944542"/>
      <w:bookmarkStart w:id="378" w:name="_Toc297123545"/>
      <w:bookmarkStart w:id="379" w:name="_Toc303539151"/>
      <w:bookmarkStart w:id="380" w:name="_Toc296891031"/>
      <w:bookmarkStart w:id="381" w:name="_Toc296346704"/>
      <w:bookmarkStart w:id="382" w:name="_Toc297120503"/>
      <w:bookmarkStart w:id="383" w:name="_Toc296503203"/>
      <w:bookmarkStart w:id="384" w:name="_Toc300934994"/>
      <w:bookmarkStart w:id="385" w:name="_Toc296347202"/>
      <w:bookmarkStart w:id="386" w:name="_Toc292559913"/>
      <w:bookmarkStart w:id="387" w:name="_Toc296891243"/>
      <w:bookmarkStart w:id="388" w:name="_Toc292559408"/>
      <w:r>
        <w:rPr>
          <w:rFonts w:hint="eastAsia" w:ascii="宋体" w:hAnsi="宋体" w:eastAsia="宋体" w:cs="宋体"/>
          <w:color w:val="auto"/>
          <w:sz w:val="21"/>
          <w:szCs w:val="21"/>
          <w:highlight w:val="none"/>
        </w:rPr>
        <w:t>包人的合理化建议</w:t>
      </w:r>
    </w:p>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14:paraId="2F8F05A6">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监理人审查承包人合理化建议的期限：</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w:t>
      </w:r>
    </w:p>
    <w:p w14:paraId="3B466928">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发包人审批承包人合理化建议的期限：</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w:t>
      </w:r>
    </w:p>
    <w:p w14:paraId="0CF6358C">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w:t>
      </w:r>
      <w:bookmarkStart w:id="389" w:name="_Toc296944543"/>
      <w:bookmarkStart w:id="390" w:name="_Toc292559914"/>
      <w:bookmarkStart w:id="391" w:name="_Toc297123546"/>
      <w:bookmarkStart w:id="392" w:name="_Toc297048390"/>
      <w:bookmarkStart w:id="393" w:name="_Toc297216205"/>
      <w:bookmarkStart w:id="394" w:name="_Toc296347203"/>
      <w:bookmarkStart w:id="395" w:name="_Toc297120504"/>
      <w:bookmarkStart w:id="396" w:name="_Toc292559409"/>
      <w:bookmarkStart w:id="397" w:name="_Toc318581175"/>
      <w:bookmarkStart w:id="398" w:name="_Toc300934995"/>
      <w:bookmarkStart w:id="399" w:name="_Toc296346705"/>
      <w:bookmarkStart w:id="400" w:name="_Toc303539152"/>
      <w:bookmarkStart w:id="401" w:name="_Toc312677504"/>
      <w:bookmarkStart w:id="402" w:name="_Toc296891244"/>
      <w:bookmarkStart w:id="403" w:name="_Toc304295571"/>
      <w:bookmarkStart w:id="404" w:name="_Toc296891032"/>
      <w:bookmarkStart w:id="405" w:name="_Toc296503204"/>
      <w:bookmarkStart w:id="406" w:name="_Toc312678030"/>
      <w:r>
        <w:rPr>
          <w:rFonts w:hint="eastAsia" w:ascii="宋体" w:hAnsi="宋体" w:eastAsia="宋体" w:cs="宋体"/>
          <w:color w:val="auto"/>
          <w:sz w:val="21"/>
          <w:szCs w:val="21"/>
          <w:highlight w:val="none"/>
        </w:rPr>
        <w:t>包人提出的合理化建议降低了合同价格或者提高了工程经济效益的奖励的方法和金额为：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w:t>
      </w:r>
    </w:p>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14:paraId="269B218F">
      <w:pPr>
        <w:pageBreakBefore w:val="0"/>
        <w:widowControl w:val="0"/>
        <w:kinsoku/>
        <w:wordWrap/>
        <w:overflowPunct/>
        <w:topLinePunct w:val="0"/>
        <w:bidi w:val="0"/>
        <w:spacing w:line="380" w:lineRule="exact"/>
        <w:ind w:left="0" w:leftChars="0" w:firstLine="420" w:firstLineChars="200"/>
        <w:textAlignment w:val="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407" w:name="_Toc312678033"/>
      <w:bookmarkStart w:id="408" w:name="_Toc296944538"/>
      <w:bookmarkStart w:id="409" w:name="_Toc297048385"/>
      <w:bookmarkStart w:id="410" w:name="_Toc292559909"/>
      <w:bookmarkStart w:id="411" w:name="_Toc297123548"/>
      <w:bookmarkStart w:id="412" w:name="_Toc312677507"/>
      <w:bookmarkStart w:id="413" w:name="_Toc297120499"/>
      <w:bookmarkStart w:id="414" w:name="_Toc296891239"/>
      <w:bookmarkStart w:id="415" w:name="_Toc303539154"/>
      <w:bookmarkStart w:id="416" w:name="_Toc296346700"/>
      <w:bookmarkStart w:id="417" w:name="_Toc300934997"/>
      <w:bookmarkStart w:id="418" w:name="_Toc296347198"/>
      <w:bookmarkStart w:id="419" w:name="_Toc296891027"/>
      <w:bookmarkStart w:id="420" w:name="_Toc297216207"/>
      <w:bookmarkStart w:id="421" w:name="_Toc292559404"/>
      <w:bookmarkStart w:id="422" w:name="_Toc296503199"/>
      <w:bookmarkStart w:id="423" w:name="_Toc304295574"/>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 xml:space="preserve"> 暂估价</w:t>
      </w:r>
    </w:p>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14:paraId="3D6F5C0D">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暂</w:t>
      </w:r>
      <w:bookmarkStart w:id="424" w:name="_Toc318581176"/>
      <w:bookmarkStart w:id="425" w:name="_Toc312677508"/>
      <w:bookmarkStart w:id="426" w:name="_Toc312678034"/>
      <w:r>
        <w:rPr>
          <w:rFonts w:hint="eastAsia" w:ascii="宋体" w:hAnsi="宋体" w:eastAsia="宋体" w:cs="宋体"/>
          <w:color w:val="auto"/>
          <w:kern w:val="0"/>
          <w:sz w:val="21"/>
          <w:szCs w:val="21"/>
          <w:highlight w:val="none"/>
        </w:rPr>
        <w:t>估价材料和工程设备的明细详见附件11：《暂估价一览表》。</w:t>
      </w:r>
    </w:p>
    <w:bookmarkEnd w:id="424"/>
    <w:bookmarkEnd w:id="425"/>
    <w:bookmarkEnd w:id="426"/>
    <w:p w14:paraId="4D99F35E">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427" w:name="_Toc312677509"/>
      <w:bookmarkStart w:id="428" w:name="_Toc312678035"/>
      <w:bookmarkStart w:id="429" w:name="_Toc318581177"/>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.1 依法必须招标的暂估价项目</w:t>
      </w:r>
    </w:p>
    <w:bookmarkEnd w:id="427"/>
    <w:bookmarkEnd w:id="428"/>
    <w:bookmarkEnd w:id="429"/>
    <w:p w14:paraId="3E2CA167">
      <w:pPr>
        <w:keepNext w:val="0"/>
        <w:keepLines w:val="0"/>
        <w:pageBreakBefore w:val="0"/>
        <w:widowControl w:val="0"/>
        <w:kinsoku/>
        <w:wordWrap/>
        <w:overflowPunct/>
        <w:topLinePunct w:val="0"/>
        <w:autoSpaceDE/>
        <w:autoSpaceDN/>
        <w:bidi w:val="0"/>
        <w:adjustRightInd/>
        <w:snapToGrid/>
        <w:spacing w:line="38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对于依法必须招标的暂估价项目的确认和批准采取第</w:t>
      </w:r>
      <w:r>
        <w:rPr>
          <w:rFonts w:hint="eastAsia"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rPr>
        <w:t>种方式确定。</w:t>
      </w:r>
      <w:r>
        <w:rPr>
          <w:rFonts w:hint="eastAsia" w:ascii="宋体" w:hAnsi="宋体" w:eastAsia="宋体" w:cs="宋体"/>
          <w:color w:val="auto"/>
          <w:sz w:val="21"/>
          <w:szCs w:val="21"/>
          <w:highlight w:val="none"/>
          <w:u w:val="single"/>
        </w:rPr>
        <w:t>该种方式调整补充约定：发包人在工程量清单中给定的暂估价项目，承包人应按照施工进度计划，在招标工作启动前14天通知发包人，并提交暂估价招标方案和工作分工，发包人应在收到后7天内确认。发包人有权确定招标代理机构、招标控制价、付款比例、工期及质量标准等。暂估价合同所涉款项皆由承包人独立承担并按其合同约定向中标人及时足额予以支付，因承包人支付不及时或其他原因而导致中标人与承包人发生的纠纷、索赔等，皆由承包人自行承担。最终由审计单位依据总承包合同、暂估价合同及有关招标文件、</w:t>
      </w:r>
      <w:r>
        <w:rPr>
          <w:rFonts w:hint="eastAsia" w:ascii="宋体" w:hAnsi="宋体" w:cs="宋体"/>
          <w:color w:val="auto"/>
          <w:sz w:val="21"/>
          <w:szCs w:val="21"/>
          <w:highlight w:val="none"/>
          <w:u w:val="single"/>
          <w:lang w:eastAsia="zh-CN"/>
        </w:rPr>
        <w:t>响应文件</w:t>
      </w:r>
      <w:r>
        <w:rPr>
          <w:rFonts w:hint="eastAsia" w:ascii="宋体" w:hAnsi="宋体" w:eastAsia="宋体" w:cs="宋体"/>
          <w:color w:val="auto"/>
          <w:sz w:val="21"/>
          <w:szCs w:val="21"/>
          <w:highlight w:val="none"/>
          <w:u w:val="single"/>
        </w:rPr>
        <w:t>和现场实际情况等进行审计。承包人已充分理解上述情况可能产生的风险及费用并在投标报价时已综合考虑，保证不再向发包人</w:t>
      </w:r>
      <w:r>
        <w:rPr>
          <w:rFonts w:hint="eastAsia" w:ascii="宋体" w:hAnsi="宋体" w:cs="宋体"/>
          <w:color w:val="auto"/>
          <w:sz w:val="21"/>
          <w:szCs w:val="21"/>
          <w:highlight w:val="none"/>
          <w:u w:val="single"/>
          <w:lang w:eastAsia="zh-CN"/>
        </w:rPr>
        <w:t>提出其他</w:t>
      </w:r>
      <w:r>
        <w:rPr>
          <w:rFonts w:hint="eastAsia" w:ascii="宋体" w:hAnsi="宋体" w:eastAsia="宋体" w:cs="宋体"/>
          <w:color w:val="auto"/>
          <w:sz w:val="21"/>
          <w:szCs w:val="21"/>
          <w:highlight w:val="none"/>
          <w:u w:val="single"/>
        </w:rPr>
        <w:t>额外费用补偿 。</w:t>
      </w:r>
    </w:p>
    <w:p w14:paraId="26A3DB54">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如果出现招投标监管平台仅允许发包人作为招标人实施暂估价项目招标时，承包人仍然同意按照上述条款执行 。</w:t>
      </w:r>
    </w:p>
    <w:p w14:paraId="1F0E559E">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.2 不属于依法必须招标的暂估价项目</w:t>
      </w:r>
    </w:p>
    <w:p w14:paraId="2E281DE2">
      <w:pPr>
        <w:keepNext w:val="0"/>
        <w:keepLines w:val="0"/>
        <w:pageBreakBefore w:val="0"/>
        <w:widowControl w:val="0"/>
        <w:kinsoku/>
        <w:wordWrap/>
        <w:overflowPunct/>
        <w:topLinePunct w:val="0"/>
        <w:autoSpaceDE/>
        <w:autoSpaceDN/>
        <w:bidi w:val="0"/>
        <w:adjustRightInd/>
        <w:snapToGrid/>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对于不属于依法必须招标的暂估价项目的确认和批准采取第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 xml:space="preserve"> 种方式确定。</w:t>
      </w:r>
    </w:p>
    <w:p w14:paraId="0B4C118E">
      <w:pPr>
        <w:keepNext w:val="0"/>
        <w:keepLines w:val="0"/>
        <w:pageBreakBefore w:val="0"/>
        <w:widowControl w:val="0"/>
        <w:kinsoku/>
        <w:wordWrap/>
        <w:overflowPunct/>
        <w:topLinePunct w:val="0"/>
        <w:autoSpaceDE/>
        <w:autoSpaceDN/>
        <w:bidi w:val="0"/>
        <w:adjustRightInd/>
        <w:snapToGrid/>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发包人在工程量清单中给定的专业工程暂估价，按相关法律法规规定，如可直接发包给承包人的，须经发包人批准，但在竣工结算时，审计单位将依据原招标文件、</w:t>
      </w:r>
      <w:r>
        <w:rPr>
          <w:rFonts w:hint="eastAsia" w:ascii="宋体" w:hAnsi="宋体" w:cs="宋体"/>
          <w:color w:val="auto"/>
          <w:sz w:val="21"/>
          <w:szCs w:val="21"/>
          <w:highlight w:val="none"/>
          <w:u w:val="single"/>
          <w:lang w:eastAsia="zh-CN"/>
        </w:rPr>
        <w:t>响应文件</w:t>
      </w:r>
      <w:r>
        <w:rPr>
          <w:rFonts w:hint="eastAsia" w:ascii="宋体" w:hAnsi="宋体" w:eastAsia="宋体" w:cs="宋体"/>
          <w:color w:val="auto"/>
          <w:sz w:val="21"/>
          <w:szCs w:val="21"/>
          <w:highlight w:val="none"/>
          <w:u w:val="single"/>
        </w:rPr>
        <w:t>、总承包合同、投标让利幅度及现场实际情况等进行审计，否则按照专用合同条款第10.7.1项约定执行 。</w:t>
      </w:r>
    </w:p>
    <w:p w14:paraId="55290CF2">
      <w:pPr>
        <w:keepNext w:val="0"/>
        <w:keepLines w:val="0"/>
        <w:pageBreakBefore w:val="0"/>
        <w:widowControl w:val="0"/>
        <w:kinsoku/>
        <w:wordWrap/>
        <w:overflowPunct/>
        <w:topLinePunct w:val="0"/>
        <w:autoSpaceDE/>
        <w:autoSpaceDN/>
        <w:bidi w:val="0"/>
        <w:adjustRightInd/>
        <w:snapToGrid/>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第3种方式：</w:t>
      </w:r>
      <w:r>
        <w:rPr>
          <w:rFonts w:hint="eastAsia" w:ascii="宋体" w:hAnsi="宋体" w:eastAsia="宋体" w:cs="宋体"/>
          <w:color w:val="auto"/>
          <w:kern w:val="0"/>
          <w:sz w:val="21"/>
          <w:szCs w:val="21"/>
          <w:highlight w:val="none"/>
        </w:rPr>
        <w:t>承包人直接实施的暂估价项目</w:t>
      </w:r>
    </w:p>
    <w:p w14:paraId="2280C637">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承包人直接实施的暂估价项目的约定：</w:t>
      </w:r>
      <w:r>
        <w:rPr>
          <w:rFonts w:hint="eastAsia" w:ascii="宋体" w:hAnsi="宋体" w:eastAsia="宋体" w:cs="宋体"/>
          <w:color w:val="auto"/>
          <w:sz w:val="21"/>
          <w:szCs w:val="21"/>
          <w:highlight w:val="none"/>
          <w:u w:val="single"/>
        </w:rPr>
        <w:t xml:space="preserve"> / </w:t>
      </w:r>
    </w:p>
    <w:p w14:paraId="25344BED">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暂列金额</w:t>
      </w:r>
    </w:p>
    <w:p w14:paraId="78E5F6A6">
      <w:pPr>
        <w:pageBreakBefore w:val="0"/>
        <w:widowControl w:val="0"/>
        <w:kinsoku/>
        <w:wordWrap/>
        <w:overflowPunct/>
        <w:topLinePunct w:val="0"/>
        <w:autoSpaceDE w:val="0"/>
        <w:autoSpaceDN w:val="0"/>
        <w:bidi w:val="0"/>
        <w:adjustRightInd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合同当事人关于暂列金额使用的约定：</w:t>
      </w:r>
      <w:r>
        <w:rPr>
          <w:rFonts w:hint="eastAsia" w:ascii="宋体" w:hAnsi="宋体" w:eastAsia="宋体" w:cs="宋体"/>
          <w:color w:val="auto"/>
          <w:sz w:val="21"/>
          <w:szCs w:val="21"/>
          <w:highlight w:val="none"/>
          <w:u w:val="single"/>
        </w:rPr>
        <w:t>暂列金额归发包人所有或使用</w:t>
      </w:r>
      <w:r>
        <w:rPr>
          <w:rFonts w:hint="eastAsia" w:ascii="宋体" w:hAnsi="宋体" w:eastAsia="宋体" w:cs="宋体"/>
          <w:color w:val="auto"/>
          <w:kern w:val="0"/>
          <w:sz w:val="21"/>
          <w:szCs w:val="21"/>
          <w:highlight w:val="none"/>
        </w:rPr>
        <w:t>。</w:t>
      </w:r>
    </w:p>
    <w:p w14:paraId="10F12138">
      <w:pPr>
        <w:pStyle w:val="2"/>
        <w:pageBreakBefore w:val="0"/>
        <w:widowControl w:val="0"/>
        <w:kinsoku/>
        <w:wordWrap/>
        <w:overflowPunct/>
        <w:topLinePunct w:val="0"/>
        <w:bidi w:val="0"/>
        <w:spacing w:line="380" w:lineRule="exact"/>
        <w:ind w:left="0" w:leftChars="0" w:firstLine="422" w:firstLineChars="200"/>
        <w:textAlignment w:val="auto"/>
        <w:rPr>
          <w:rFonts w:hint="eastAsia" w:ascii="宋体" w:hAnsi="宋体" w:eastAsia="宋体" w:cs="宋体"/>
          <w:color w:val="auto"/>
          <w:sz w:val="21"/>
          <w:szCs w:val="21"/>
          <w:highlight w:val="none"/>
          <w:lang w:eastAsia="zh-CN"/>
        </w:rPr>
      </w:pPr>
      <w:bookmarkStart w:id="430" w:name="_Toc351203643"/>
      <w:r>
        <w:rPr>
          <w:rFonts w:hint="eastAsia" w:ascii="宋体" w:hAnsi="宋体" w:eastAsia="宋体" w:cs="宋体"/>
          <w:color w:val="auto"/>
          <w:sz w:val="21"/>
          <w:szCs w:val="21"/>
          <w:highlight w:val="none"/>
          <w:lang w:eastAsia="zh-CN"/>
        </w:rPr>
        <w:t>11. 价格调整</w:t>
      </w:r>
      <w:bookmarkEnd w:id="430"/>
    </w:p>
    <w:p w14:paraId="52E466FB">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bookmarkStart w:id="431" w:name="_Toc297048387"/>
      <w:bookmarkStart w:id="432" w:name="_Toc296891029"/>
      <w:bookmarkStart w:id="433" w:name="_Toc292559406"/>
      <w:bookmarkStart w:id="434" w:name="_Toc296346702"/>
      <w:bookmarkStart w:id="435" w:name="_Toc297216209"/>
      <w:bookmarkStart w:id="436" w:name="_Toc292559911"/>
      <w:bookmarkStart w:id="437" w:name="_Toc297120501"/>
      <w:bookmarkStart w:id="438" w:name="_Toc300935000"/>
      <w:bookmarkStart w:id="439" w:name="_Toc296891241"/>
      <w:bookmarkStart w:id="440" w:name="_Toc312678039"/>
      <w:bookmarkStart w:id="441" w:name="_Toc296347200"/>
      <w:bookmarkStart w:id="442" w:name="_Toc304295577"/>
      <w:bookmarkStart w:id="443" w:name="_Toc296503201"/>
      <w:bookmarkStart w:id="444" w:name="_Toc303539157"/>
      <w:bookmarkStart w:id="445" w:name="_Toc296944540"/>
      <w:bookmarkStart w:id="446" w:name="_Toc297123550"/>
      <w:r>
        <w:rPr>
          <w:rFonts w:hint="eastAsia" w:ascii="宋体" w:hAnsi="宋体" w:eastAsia="宋体" w:cs="宋体"/>
          <w:color w:val="auto"/>
          <w:sz w:val="21"/>
          <w:szCs w:val="21"/>
          <w:highlight w:val="none"/>
        </w:rPr>
        <w:t>11.1 市场价格波动引起的调整</w:t>
      </w:r>
    </w:p>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14:paraId="31C30B01">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市场价格波动是否调整合同价格的约定：</w:t>
      </w:r>
      <w:r>
        <w:rPr>
          <w:rFonts w:hint="eastAsia" w:ascii="宋体" w:hAnsi="宋体" w:eastAsia="宋体" w:cs="宋体"/>
          <w:color w:val="auto"/>
          <w:sz w:val="21"/>
          <w:szCs w:val="21"/>
          <w:highlight w:val="none"/>
          <w:u w:val="single"/>
        </w:rPr>
        <w:t xml:space="preserve">   不调整   </w:t>
      </w:r>
      <w:r>
        <w:rPr>
          <w:rFonts w:hint="eastAsia" w:ascii="宋体" w:hAnsi="宋体" w:eastAsia="宋体" w:cs="宋体"/>
          <w:color w:val="auto"/>
          <w:sz w:val="21"/>
          <w:szCs w:val="21"/>
          <w:highlight w:val="none"/>
        </w:rPr>
        <w:t>。</w:t>
      </w:r>
    </w:p>
    <w:p w14:paraId="1C54C795">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因市场价格波动调整合同价格，采用以下第</w:t>
      </w:r>
      <w:r>
        <w:rPr>
          <w:rFonts w:hint="eastAsia" w:ascii="宋体" w:hAnsi="宋体" w:eastAsia="宋体" w:cs="宋体"/>
          <w:color w:val="auto"/>
          <w:sz w:val="21"/>
          <w:szCs w:val="21"/>
          <w:highlight w:val="none"/>
          <w:u w:val="single"/>
          <w:lang w:val="en-US" w:eastAsia="zh-CN"/>
        </w:rPr>
        <w:t>3</w:t>
      </w:r>
      <w:r>
        <w:rPr>
          <w:rFonts w:hint="eastAsia" w:ascii="宋体" w:hAnsi="宋体" w:eastAsia="宋体" w:cs="宋体"/>
          <w:color w:val="auto"/>
          <w:sz w:val="21"/>
          <w:szCs w:val="21"/>
          <w:highlight w:val="none"/>
        </w:rPr>
        <w:t>种方式对合同价格进行调整：</w:t>
      </w:r>
    </w:p>
    <w:p w14:paraId="21C16591">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第1种方式：采用价格指数进行价格调整。</w:t>
      </w:r>
    </w:p>
    <w:p w14:paraId="0864989A">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关于各可调因子、定值和变值权重，以及基本价格指数及其来源的约定</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  </w:t>
      </w:r>
    </w:p>
    <w:p w14:paraId="57DFEC05">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第2种方式：采用造价信息进行价格调整。</w:t>
      </w:r>
    </w:p>
    <w:p w14:paraId="216772BE">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（2）关于基准价格的约定</w:t>
      </w:r>
      <w:r>
        <w:rPr>
          <w:rFonts w:hint="eastAsia" w:ascii="宋体" w:hAnsi="宋体" w:eastAsia="宋体" w:cs="宋体"/>
          <w:color w:val="auto"/>
          <w:sz w:val="21"/>
          <w:szCs w:val="21"/>
          <w:highlight w:val="none"/>
          <w:lang w:eastAsia="zh-CN"/>
        </w:rPr>
        <w:t>：</w:t>
      </w:r>
    </w:p>
    <w:p w14:paraId="1F664C23">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p>
    <w:p w14:paraId="49DF080E">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p>
    <w:p w14:paraId="0C520208">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③承包人在已标价工程量清单或预算书中载明的材料单价等于基准单价的：专用合同条款合同履行期间材料单价涨跌幅以基准单价为基础超过±%时，其超过部分据实调整。</w:t>
      </w:r>
    </w:p>
    <w:p w14:paraId="10BC0160">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第3种方式：其他价格调整方式：</w:t>
      </w:r>
      <w:r>
        <w:rPr>
          <w:rFonts w:hint="eastAsia" w:ascii="宋体" w:hAnsi="宋体" w:eastAsia="宋体" w:cs="宋体"/>
          <w:color w:val="auto"/>
          <w:sz w:val="21"/>
          <w:szCs w:val="21"/>
          <w:highlight w:val="none"/>
          <w:u w:val="single"/>
        </w:rPr>
        <w:t xml:space="preserve">   同投标报价     </w:t>
      </w:r>
      <w:r>
        <w:rPr>
          <w:rFonts w:hint="eastAsia" w:ascii="宋体" w:hAnsi="宋体" w:eastAsia="宋体" w:cs="宋体"/>
          <w:color w:val="auto"/>
          <w:sz w:val="21"/>
          <w:szCs w:val="21"/>
          <w:highlight w:val="none"/>
        </w:rPr>
        <w:t>。</w:t>
      </w:r>
    </w:p>
    <w:bookmarkEnd w:id="334"/>
    <w:bookmarkEnd w:id="335"/>
    <w:bookmarkEnd w:id="336"/>
    <w:bookmarkEnd w:id="337"/>
    <w:bookmarkEnd w:id="338"/>
    <w:bookmarkEnd w:id="339"/>
    <w:p w14:paraId="0EDA5821">
      <w:pPr>
        <w:pStyle w:val="2"/>
        <w:pageBreakBefore w:val="0"/>
        <w:widowControl w:val="0"/>
        <w:kinsoku/>
        <w:wordWrap/>
        <w:overflowPunct/>
        <w:topLinePunct w:val="0"/>
        <w:bidi w:val="0"/>
        <w:spacing w:line="380" w:lineRule="exact"/>
        <w:ind w:left="0" w:leftChars="0" w:firstLine="422" w:firstLineChars="200"/>
        <w:textAlignment w:val="auto"/>
        <w:rPr>
          <w:rFonts w:hint="eastAsia" w:ascii="宋体" w:hAnsi="宋体" w:eastAsia="宋体" w:cs="宋体"/>
          <w:color w:val="auto"/>
          <w:sz w:val="21"/>
          <w:szCs w:val="21"/>
          <w:highlight w:val="none"/>
          <w:lang w:eastAsia="zh-CN"/>
        </w:rPr>
      </w:pPr>
      <w:bookmarkStart w:id="447" w:name="_Toc296347204"/>
      <w:bookmarkStart w:id="448" w:name="_Toc296346706"/>
      <w:bookmarkStart w:id="449" w:name="_Toc297048391"/>
      <w:bookmarkStart w:id="450" w:name="_Toc296891033"/>
      <w:bookmarkStart w:id="451" w:name="_Toc292559410"/>
      <w:bookmarkStart w:id="452" w:name="_Toc296503205"/>
      <w:bookmarkStart w:id="453" w:name="_Toc296944544"/>
      <w:bookmarkStart w:id="454" w:name="_Toc297120505"/>
      <w:bookmarkStart w:id="455" w:name="_Toc292559915"/>
      <w:bookmarkStart w:id="456" w:name="_Toc296891245"/>
      <w:bookmarkStart w:id="457" w:name="_Toc351203644"/>
      <w:bookmarkStart w:id="458" w:name="_Toc312678040"/>
      <w:bookmarkStart w:id="459" w:name="_Toc297216211"/>
      <w:bookmarkStart w:id="460" w:name="_Toc303539159"/>
      <w:bookmarkStart w:id="461" w:name="_Toc297123552"/>
      <w:bookmarkStart w:id="462" w:name="_Toc304295579"/>
      <w:bookmarkStart w:id="463" w:name="_Toc300935002"/>
      <w:r>
        <w:rPr>
          <w:rFonts w:hint="eastAsia" w:ascii="宋体" w:hAnsi="宋体" w:eastAsia="宋体" w:cs="宋体"/>
          <w:color w:val="auto"/>
          <w:sz w:val="21"/>
          <w:szCs w:val="21"/>
          <w:highlight w:val="none"/>
          <w:lang w:eastAsia="zh-CN"/>
        </w:rPr>
        <w:t xml:space="preserve">12. </w:t>
      </w:r>
      <w:bookmarkEnd w:id="447"/>
      <w:bookmarkEnd w:id="448"/>
      <w:bookmarkEnd w:id="449"/>
      <w:bookmarkEnd w:id="450"/>
      <w:bookmarkEnd w:id="451"/>
      <w:bookmarkEnd w:id="452"/>
      <w:bookmarkEnd w:id="453"/>
      <w:bookmarkEnd w:id="454"/>
      <w:bookmarkEnd w:id="455"/>
      <w:bookmarkEnd w:id="456"/>
      <w:r>
        <w:rPr>
          <w:rFonts w:hint="eastAsia" w:ascii="宋体" w:hAnsi="宋体" w:eastAsia="宋体" w:cs="宋体"/>
          <w:color w:val="auto"/>
          <w:sz w:val="21"/>
          <w:szCs w:val="21"/>
          <w:highlight w:val="none"/>
          <w:lang w:eastAsia="zh-CN"/>
        </w:rPr>
        <w:t>合同价格、计量与支付</w:t>
      </w:r>
      <w:bookmarkEnd w:id="457"/>
    </w:p>
    <w:bookmarkEnd w:id="458"/>
    <w:bookmarkEnd w:id="459"/>
    <w:bookmarkEnd w:id="460"/>
    <w:bookmarkEnd w:id="461"/>
    <w:bookmarkEnd w:id="462"/>
    <w:bookmarkEnd w:id="463"/>
    <w:p w14:paraId="3FD26F45">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bookmarkStart w:id="464" w:name="_Toc292559916"/>
      <w:bookmarkStart w:id="465" w:name="_Toc292559411"/>
      <w:bookmarkStart w:id="466" w:name="_Toc267251461"/>
      <w:bookmarkStart w:id="467" w:name="_Toc296891034"/>
      <w:bookmarkStart w:id="468" w:name="_Toc297048392"/>
      <w:bookmarkStart w:id="469" w:name="_Toc296944545"/>
      <w:bookmarkStart w:id="470" w:name="_Toc296347205"/>
      <w:bookmarkStart w:id="471" w:name="_Toc296503206"/>
      <w:bookmarkStart w:id="472" w:name="_Toc296346707"/>
      <w:bookmarkStart w:id="473" w:name="_Toc297120506"/>
      <w:bookmarkStart w:id="474" w:name="_Toc296891246"/>
      <w:bookmarkStart w:id="475" w:name="_Toc297123553"/>
      <w:bookmarkStart w:id="476" w:name="_Toc297216212"/>
      <w:bookmarkStart w:id="477" w:name="_Toc304295580"/>
      <w:bookmarkStart w:id="478" w:name="_Toc300935003"/>
      <w:bookmarkStart w:id="479" w:name="_Toc303539160"/>
      <w:bookmarkStart w:id="480" w:name="_Toc312678041"/>
      <w:r>
        <w:rPr>
          <w:rFonts w:hint="eastAsia" w:ascii="宋体" w:hAnsi="宋体" w:eastAsia="宋体" w:cs="宋体"/>
          <w:color w:val="auto"/>
          <w:sz w:val="21"/>
          <w:szCs w:val="21"/>
          <w:highlight w:val="none"/>
        </w:rPr>
        <w:t>12.1 合</w:t>
      </w:r>
      <w:bookmarkEnd w:id="464"/>
      <w:bookmarkEnd w:id="465"/>
      <w:bookmarkEnd w:id="466"/>
      <w:r>
        <w:rPr>
          <w:rFonts w:hint="eastAsia" w:ascii="宋体" w:hAnsi="宋体" w:eastAsia="宋体" w:cs="宋体"/>
          <w:color w:val="auto"/>
          <w:sz w:val="21"/>
          <w:szCs w:val="21"/>
          <w:highlight w:val="none"/>
        </w:rPr>
        <w:t>同价</w:t>
      </w:r>
      <w:bookmarkEnd w:id="467"/>
      <w:bookmarkEnd w:id="468"/>
      <w:bookmarkEnd w:id="469"/>
      <w:bookmarkEnd w:id="470"/>
      <w:bookmarkEnd w:id="471"/>
      <w:bookmarkEnd w:id="472"/>
      <w:bookmarkEnd w:id="473"/>
      <w:bookmarkEnd w:id="474"/>
      <w:r>
        <w:rPr>
          <w:rFonts w:hint="eastAsia" w:ascii="宋体" w:hAnsi="宋体" w:eastAsia="宋体" w:cs="宋体"/>
          <w:color w:val="auto"/>
          <w:sz w:val="21"/>
          <w:szCs w:val="21"/>
          <w:highlight w:val="none"/>
        </w:rPr>
        <w:t>格形式</w:t>
      </w:r>
    </w:p>
    <w:bookmarkEnd w:id="475"/>
    <w:bookmarkEnd w:id="476"/>
    <w:bookmarkEnd w:id="477"/>
    <w:bookmarkEnd w:id="478"/>
    <w:bookmarkEnd w:id="479"/>
    <w:bookmarkEnd w:id="480"/>
    <w:p w14:paraId="6E798BDF">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1.</w:t>
      </w:r>
      <w:r>
        <w:rPr>
          <w:rFonts w:hint="eastAsia" w:ascii="宋体" w:hAnsi="宋体" w:eastAsia="宋体" w:cs="宋体"/>
          <w:color w:val="auto"/>
          <w:sz w:val="21"/>
          <w:szCs w:val="21"/>
          <w:highlight w:val="none"/>
        </w:rPr>
        <w:t>单价合同。</w:t>
      </w:r>
    </w:p>
    <w:p w14:paraId="38BB1643">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综合单价包含的风险范围：</w:t>
      </w:r>
      <w:r>
        <w:rPr>
          <w:rFonts w:hint="eastAsia" w:ascii="宋体" w:hAnsi="宋体" w:eastAsia="宋体" w:cs="宋体"/>
          <w:color w:val="auto"/>
          <w:sz w:val="21"/>
          <w:szCs w:val="21"/>
          <w:highlight w:val="none"/>
          <w:u w:val="single"/>
        </w:rPr>
        <w:t>承包</w:t>
      </w:r>
      <w:r>
        <w:rPr>
          <w:rFonts w:hint="eastAsia" w:ascii="宋体" w:hAnsi="宋体" w:cs="宋体"/>
          <w:color w:val="auto"/>
          <w:sz w:val="21"/>
          <w:szCs w:val="21"/>
          <w:highlight w:val="none"/>
          <w:u w:val="single"/>
          <w:lang w:eastAsia="zh-CN"/>
        </w:rPr>
        <w:t>人在</w:t>
      </w:r>
      <w:r>
        <w:rPr>
          <w:rFonts w:hint="eastAsia" w:ascii="宋体" w:hAnsi="宋体" w:eastAsia="宋体" w:cs="宋体"/>
          <w:color w:val="auto"/>
          <w:sz w:val="21"/>
          <w:szCs w:val="21"/>
          <w:highlight w:val="none"/>
          <w:u w:val="single"/>
        </w:rPr>
        <w:t>投标时充分考虑施工期间材料</w:t>
      </w:r>
      <w:r>
        <w:rPr>
          <w:rFonts w:hint="eastAsia" w:ascii="宋体" w:hAnsi="宋体" w:eastAsia="宋体" w:cs="宋体"/>
          <w:color w:val="auto"/>
          <w:sz w:val="21"/>
          <w:szCs w:val="21"/>
          <w:highlight w:val="none"/>
          <w:u w:val="single"/>
          <w:lang w:eastAsia="zh-CN"/>
        </w:rPr>
        <w:t>及其他风险</w:t>
      </w:r>
      <w:r>
        <w:rPr>
          <w:rFonts w:hint="eastAsia" w:ascii="宋体" w:hAnsi="宋体" w:eastAsia="宋体" w:cs="宋体"/>
          <w:color w:val="auto"/>
          <w:sz w:val="21"/>
          <w:szCs w:val="21"/>
          <w:highlight w:val="none"/>
          <w:u w:val="single"/>
        </w:rPr>
        <w:t xml:space="preserve">并在投标时计算风险费用  </w:t>
      </w:r>
      <w:r>
        <w:rPr>
          <w:rFonts w:hint="eastAsia" w:ascii="宋体" w:hAnsi="宋体" w:eastAsia="宋体" w:cs="宋体"/>
          <w:color w:val="auto"/>
          <w:sz w:val="21"/>
          <w:szCs w:val="21"/>
          <w:highlight w:val="none"/>
        </w:rPr>
        <w:t>。</w:t>
      </w:r>
    </w:p>
    <w:p w14:paraId="58E908C8">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风险费用的计算方法：</w:t>
      </w:r>
      <w:r>
        <w:rPr>
          <w:rFonts w:hint="eastAsia" w:ascii="宋体" w:hAnsi="宋体" w:eastAsia="宋体" w:cs="宋体"/>
          <w:color w:val="auto"/>
          <w:sz w:val="21"/>
          <w:szCs w:val="21"/>
          <w:highlight w:val="none"/>
          <w:u w:val="single"/>
        </w:rPr>
        <w:t>图纸变更需经甲方并报文字材料同意后实施，设计变更工程量按</w:t>
      </w:r>
      <w:r>
        <w:rPr>
          <w:rFonts w:hint="eastAsia" w:ascii="宋体" w:hAnsi="宋体" w:eastAsia="宋体" w:cs="宋体"/>
          <w:color w:val="auto"/>
          <w:sz w:val="21"/>
          <w:szCs w:val="21"/>
          <w:highlight w:val="none"/>
          <w:u w:val="single"/>
          <w:lang w:eastAsia="zh-CN"/>
        </w:rPr>
        <w:t>实际</w:t>
      </w:r>
      <w:r>
        <w:rPr>
          <w:rFonts w:hint="eastAsia" w:ascii="宋体" w:hAnsi="宋体" w:eastAsia="宋体" w:cs="宋体"/>
          <w:color w:val="auto"/>
          <w:sz w:val="21"/>
          <w:szCs w:val="21"/>
          <w:highlight w:val="none"/>
          <w:u w:val="single"/>
        </w:rPr>
        <w:t>调整，其增减部分价格按投标报价。工程竣工后由政府审计机关审核确定总造价</w:t>
      </w:r>
      <w:r>
        <w:rPr>
          <w:rFonts w:hint="eastAsia" w:ascii="宋体" w:hAnsi="宋体" w:eastAsia="宋体" w:cs="宋体"/>
          <w:color w:val="auto"/>
          <w:sz w:val="21"/>
          <w:szCs w:val="21"/>
          <w:highlight w:val="none"/>
        </w:rPr>
        <w:t>。</w:t>
      </w:r>
    </w:p>
    <w:p w14:paraId="7EE7B415">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对工程中隐蔽工程的工程量要</w:t>
      </w:r>
      <w:r>
        <w:rPr>
          <w:rFonts w:hint="eastAsia" w:ascii="宋体" w:hAnsi="宋体" w:eastAsia="宋体" w:cs="宋体"/>
          <w:color w:val="auto"/>
          <w:sz w:val="21"/>
          <w:szCs w:val="21"/>
          <w:highlight w:val="none"/>
          <w:u w:val="single"/>
          <w:lang w:eastAsia="zh-CN"/>
        </w:rPr>
        <w:t>在施工</w:t>
      </w:r>
      <w:r>
        <w:rPr>
          <w:rFonts w:hint="eastAsia" w:ascii="宋体" w:hAnsi="宋体" w:eastAsia="宋体" w:cs="宋体"/>
          <w:color w:val="auto"/>
          <w:sz w:val="21"/>
          <w:szCs w:val="21"/>
          <w:highlight w:val="none"/>
          <w:u w:val="single"/>
        </w:rPr>
        <w:t>前申报，工序结束时10日内完成相关手续，实行监理、跟踪审计（如有）、甲方现场负责人及主管人员共同签字完成，对未完成相关手续视同未做，相关方不再补签。</w:t>
      </w:r>
    </w:p>
    <w:p w14:paraId="25EB67F1">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按文件约定应由业主交纳的材料检测费用（含见证取样费用），渣土</w:t>
      </w:r>
      <w:r>
        <w:rPr>
          <w:rFonts w:hint="eastAsia" w:ascii="宋体" w:hAnsi="宋体" w:eastAsia="宋体" w:cs="宋体"/>
          <w:color w:val="auto"/>
          <w:sz w:val="21"/>
          <w:szCs w:val="21"/>
          <w:highlight w:val="none"/>
          <w:u w:val="single"/>
          <w:lang w:eastAsia="zh-CN"/>
        </w:rPr>
        <w:t>、电</w:t>
      </w:r>
      <w:r>
        <w:rPr>
          <w:rFonts w:hint="eastAsia" w:ascii="宋体" w:hAnsi="宋体" w:eastAsia="宋体" w:cs="宋体"/>
          <w:color w:val="auto"/>
          <w:sz w:val="21"/>
          <w:szCs w:val="21"/>
          <w:highlight w:val="none"/>
          <w:u w:val="single"/>
        </w:rPr>
        <w:t>石外运相关费用以及</w:t>
      </w:r>
      <w:r>
        <w:rPr>
          <w:rFonts w:hint="eastAsia" w:ascii="宋体" w:hAnsi="宋体" w:eastAsia="宋体" w:cs="宋体"/>
          <w:color w:val="auto"/>
          <w:sz w:val="21"/>
          <w:szCs w:val="21"/>
          <w:highlight w:val="none"/>
          <w:u w:val="single"/>
          <w:lang w:eastAsia="zh-CN"/>
        </w:rPr>
        <w:t>其他建筑</w:t>
      </w:r>
      <w:r>
        <w:rPr>
          <w:rFonts w:hint="eastAsia" w:ascii="宋体" w:hAnsi="宋体" w:eastAsia="宋体" w:cs="宋体"/>
          <w:color w:val="auto"/>
          <w:sz w:val="21"/>
          <w:szCs w:val="21"/>
          <w:highlight w:val="none"/>
          <w:u w:val="single"/>
        </w:rPr>
        <w:t>垃圾外运均由施工单位在报价中考虑并报在投标报价中，甲方决算时</w:t>
      </w:r>
      <w:r>
        <w:rPr>
          <w:rFonts w:hint="eastAsia" w:ascii="宋体" w:hAnsi="宋体" w:cs="宋体"/>
          <w:color w:val="auto"/>
          <w:sz w:val="21"/>
          <w:szCs w:val="21"/>
          <w:highlight w:val="none"/>
          <w:u w:val="single"/>
          <w:lang w:eastAsia="zh-CN"/>
        </w:rPr>
        <w:t>不再</w:t>
      </w:r>
      <w:r>
        <w:rPr>
          <w:rFonts w:hint="eastAsia" w:ascii="宋体" w:hAnsi="宋体" w:eastAsia="宋体" w:cs="宋体"/>
          <w:color w:val="auto"/>
          <w:sz w:val="21"/>
          <w:szCs w:val="21"/>
          <w:highlight w:val="none"/>
          <w:u w:val="single"/>
        </w:rPr>
        <w:t>签证支付此项费用。</w:t>
      </w:r>
    </w:p>
    <w:p w14:paraId="434C8B19">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中标人中标后必须自行考虑与相关单位的协调配合以及办理相关部门的行政许可，由此产生的一切费用由投标单位在报价中体现充</w:t>
      </w:r>
      <w:r>
        <w:rPr>
          <w:rFonts w:hint="eastAsia" w:ascii="宋体" w:hAnsi="宋体" w:eastAsia="宋体" w:cs="宋体"/>
          <w:color w:val="auto"/>
          <w:sz w:val="21"/>
          <w:szCs w:val="21"/>
          <w:highlight w:val="none"/>
          <w:u w:val="single"/>
          <w:lang w:eastAsia="zh-CN"/>
        </w:rPr>
        <w:t>分包</w:t>
      </w:r>
      <w:r>
        <w:rPr>
          <w:rFonts w:hint="eastAsia" w:ascii="宋体" w:hAnsi="宋体" w:eastAsia="宋体" w:cs="宋体"/>
          <w:color w:val="auto"/>
          <w:sz w:val="21"/>
          <w:szCs w:val="21"/>
          <w:highlight w:val="none"/>
          <w:u w:val="single"/>
        </w:rPr>
        <w:t>含在投标报价中。</w:t>
      </w:r>
    </w:p>
    <w:p w14:paraId="3977AC9D">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清单中未做项目按实扣除。</w:t>
      </w:r>
    </w:p>
    <w:p w14:paraId="1EA8DCC9">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本项目清单未列</w:t>
      </w:r>
      <w:r>
        <w:rPr>
          <w:rFonts w:hint="eastAsia" w:ascii="宋体" w:hAnsi="宋体" w:eastAsia="宋体" w:cs="宋体"/>
          <w:color w:val="auto"/>
          <w:sz w:val="21"/>
          <w:szCs w:val="21"/>
          <w:highlight w:val="none"/>
          <w:u w:val="single"/>
          <w:lang w:eastAsia="zh-CN"/>
        </w:rPr>
        <w:t>出的</w:t>
      </w:r>
      <w:r>
        <w:rPr>
          <w:rFonts w:hint="eastAsia" w:ascii="宋体" w:hAnsi="宋体" w:eastAsia="宋体" w:cs="宋体"/>
          <w:color w:val="auto"/>
          <w:sz w:val="21"/>
          <w:szCs w:val="21"/>
          <w:highlight w:val="none"/>
          <w:u w:val="single"/>
        </w:rPr>
        <w:t>大型机械进</w:t>
      </w:r>
      <w:r>
        <w:rPr>
          <w:rFonts w:hint="eastAsia" w:ascii="宋体" w:hAnsi="宋体" w:eastAsia="宋体" w:cs="宋体"/>
          <w:color w:val="auto"/>
          <w:sz w:val="21"/>
          <w:szCs w:val="21"/>
          <w:highlight w:val="none"/>
          <w:u w:val="single"/>
          <w:lang w:eastAsia="zh-CN"/>
        </w:rPr>
        <w:t>出口</w:t>
      </w:r>
      <w:r>
        <w:rPr>
          <w:rFonts w:hint="eastAsia" w:ascii="宋体" w:hAnsi="宋体" w:eastAsia="宋体" w:cs="宋体"/>
          <w:color w:val="auto"/>
          <w:sz w:val="21"/>
          <w:szCs w:val="21"/>
          <w:highlight w:val="none"/>
          <w:u w:val="single"/>
        </w:rPr>
        <w:t>费用均不单独立项（立项的除外）由投标人自行考虑含在投标报价中，竣工结算不调整。</w:t>
      </w:r>
    </w:p>
    <w:p w14:paraId="6354EB1F">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在措施项目清单中，业主根据实际情况罗列了部分名称，投标单位可根据本单位项目特点与采取的施工方案结合组织设计增减相关措施费用，业主不考虑在后期施</w:t>
      </w:r>
      <w:r>
        <w:rPr>
          <w:rFonts w:hint="eastAsia" w:ascii="宋体" w:hAnsi="宋体" w:eastAsia="宋体" w:cs="宋体"/>
          <w:color w:val="auto"/>
          <w:sz w:val="21"/>
          <w:szCs w:val="21"/>
          <w:highlight w:val="none"/>
          <w:u w:val="single"/>
          <w:lang w:eastAsia="zh-CN"/>
        </w:rPr>
        <w:t>工中</w:t>
      </w:r>
      <w:r>
        <w:rPr>
          <w:rFonts w:hint="eastAsia" w:ascii="宋体" w:hAnsi="宋体" w:eastAsia="宋体" w:cs="宋体"/>
          <w:color w:val="auto"/>
          <w:sz w:val="21"/>
          <w:szCs w:val="21"/>
          <w:highlight w:val="none"/>
          <w:u w:val="single"/>
        </w:rPr>
        <w:t>因招标文件未列出项目而发生的</w:t>
      </w:r>
      <w:r>
        <w:rPr>
          <w:rFonts w:hint="eastAsia" w:ascii="宋体" w:hAnsi="宋体" w:eastAsia="宋体" w:cs="宋体"/>
          <w:color w:val="auto"/>
          <w:sz w:val="21"/>
          <w:szCs w:val="21"/>
          <w:highlight w:val="none"/>
          <w:u w:val="single"/>
          <w:lang w:eastAsia="zh-CN"/>
        </w:rPr>
        <w:t>其他</w:t>
      </w:r>
      <w:r>
        <w:rPr>
          <w:rFonts w:hint="eastAsia" w:ascii="宋体" w:hAnsi="宋体" w:eastAsia="宋体" w:cs="宋体"/>
          <w:color w:val="auto"/>
          <w:sz w:val="21"/>
          <w:szCs w:val="21"/>
          <w:highlight w:val="none"/>
          <w:u w:val="single"/>
        </w:rPr>
        <w:t>相关签证。</w:t>
      </w:r>
    </w:p>
    <w:p w14:paraId="7B803ED9">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本清单中特征描述如与图纸中不一样，则由施工单位综合图纸说明一并纳入综合报价中，施工时须以图纸进行施工，决算不再调整。</w:t>
      </w:r>
    </w:p>
    <w:p w14:paraId="33584541">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投标报价有相同单价按相同单价，无相同单价但有类似单价可以参考类似单价，无相同</w:t>
      </w:r>
    </w:p>
    <w:p w14:paraId="082F6487">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单价及类似单价的按现行定额计算后乘以下浮率确定（下浮率：中标价与招标控制价的比率）。</w:t>
      </w:r>
    </w:p>
    <w:p w14:paraId="08D32577">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中标单位中标后，应及时向相关单位了解及检测地下管线走向，本项风险由投标单位考虑</w:t>
      </w:r>
      <w:r>
        <w:rPr>
          <w:rFonts w:hint="eastAsia" w:ascii="宋体" w:hAnsi="宋体" w:eastAsia="宋体" w:cs="宋体"/>
          <w:color w:val="auto"/>
          <w:sz w:val="21"/>
          <w:szCs w:val="21"/>
          <w:highlight w:val="none"/>
          <w:u w:val="single"/>
          <w:lang w:eastAsia="zh-CN"/>
        </w:rPr>
        <w:t>计入</w:t>
      </w:r>
      <w:r>
        <w:rPr>
          <w:rFonts w:hint="eastAsia" w:ascii="宋体" w:hAnsi="宋体" w:eastAsia="宋体" w:cs="宋体"/>
          <w:color w:val="auto"/>
          <w:sz w:val="21"/>
          <w:szCs w:val="21"/>
          <w:highlight w:val="none"/>
          <w:u w:val="single"/>
        </w:rPr>
        <w:t>报价中，形成的相关费用甲方不负责。</w:t>
      </w:r>
    </w:p>
    <w:p w14:paraId="7745532F">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r>
        <w:rPr>
          <w:rFonts w:hint="eastAsia" w:ascii="宋体" w:hAnsi="宋体" w:eastAsia="宋体" w:cs="宋体"/>
          <w:color w:val="auto"/>
          <w:sz w:val="21"/>
          <w:szCs w:val="21"/>
          <w:highlight w:val="none"/>
          <w:u w:val="single"/>
        </w:rPr>
        <w:t>同投标报价人工、材料、机械以及各项措施项目费用</w:t>
      </w:r>
      <w:r>
        <w:rPr>
          <w:rFonts w:hint="eastAsia" w:ascii="宋体" w:hAnsi="宋体" w:eastAsia="宋体" w:cs="宋体"/>
          <w:color w:val="auto"/>
          <w:sz w:val="21"/>
          <w:szCs w:val="21"/>
          <w:highlight w:val="none"/>
        </w:rPr>
        <w:t>。</w:t>
      </w:r>
    </w:p>
    <w:p w14:paraId="6DE14CFC">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2.</w:t>
      </w:r>
      <w:r>
        <w:rPr>
          <w:rFonts w:hint="eastAsia" w:ascii="宋体" w:hAnsi="宋体" w:eastAsia="宋体" w:cs="宋体"/>
          <w:color w:val="auto"/>
          <w:sz w:val="21"/>
          <w:szCs w:val="21"/>
          <w:highlight w:val="none"/>
        </w:rPr>
        <w:t>总价合同。</w:t>
      </w:r>
    </w:p>
    <w:p w14:paraId="0B27B7F4">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总价包含的风险范围</w:t>
      </w:r>
      <w:r>
        <w:rPr>
          <w:rFonts w:hint="eastAsia" w:ascii="宋体" w:hAnsi="宋体" w:eastAsia="宋体" w:cs="宋体"/>
          <w:color w:val="auto"/>
          <w:sz w:val="21"/>
          <w:szCs w:val="21"/>
          <w:highlight w:val="none"/>
          <w:lang w:eastAsia="zh-CN"/>
        </w:rPr>
        <w:t>：</w:t>
      </w:r>
    </w:p>
    <w:p w14:paraId="34C3F65F">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风险费用的计算方法</w:t>
      </w:r>
      <w:r>
        <w:rPr>
          <w:rFonts w:hint="eastAsia" w:ascii="宋体" w:hAnsi="宋体" w:eastAsia="宋体" w:cs="宋体"/>
          <w:color w:val="auto"/>
          <w:sz w:val="21"/>
          <w:szCs w:val="21"/>
          <w:highlight w:val="none"/>
          <w:lang w:eastAsia="zh-CN"/>
        </w:rPr>
        <w:t>：</w:t>
      </w:r>
    </w:p>
    <w:p w14:paraId="755D2D35">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r>
        <w:rPr>
          <w:rFonts w:hint="eastAsia" w:ascii="宋体" w:hAnsi="宋体" w:eastAsia="宋体" w:cs="宋体"/>
          <w:color w:val="auto"/>
          <w:sz w:val="21"/>
          <w:szCs w:val="21"/>
          <w:highlight w:val="none"/>
          <w:lang w:eastAsia="zh-CN"/>
        </w:rPr>
        <w:t>：</w:t>
      </w:r>
    </w:p>
    <w:p w14:paraId="56A485ED">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3.</w:t>
      </w:r>
      <w:r>
        <w:rPr>
          <w:rFonts w:hint="eastAsia" w:ascii="宋体" w:hAnsi="宋体" w:eastAsia="宋体" w:cs="宋体"/>
          <w:color w:val="auto"/>
          <w:sz w:val="21"/>
          <w:szCs w:val="21"/>
          <w:highlight w:val="none"/>
        </w:rPr>
        <w:t>其他价格方式</w:t>
      </w:r>
      <w:r>
        <w:rPr>
          <w:rFonts w:hint="eastAsia" w:ascii="宋体" w:hAnsi="宋体" w:eastAsia="宋体" w:cs="宋体"/>
          <w:color w:val="auto"/>
          <w:sz w:val="21"/>
          <w:szCs w:val="21"/>
          <w:highlight w:val="none"/>
          <w:lang w:eastAsia="zh-CN"/>
        </w:rPr>
        <w:t>：</w:t>
      </w:r>
    </w:p>
    <w:p w14:paraId="65CA20F0">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bookmarkStart w:id="481" w:name="_Toc304295581"/>
      <w:bookmarkStart w:id="482" w:name="_Toc303539161"/>
      <w:bookmarkStart w:id="483" w:name="_Toc297123554"/>
      <w:bookmarkStart w:id="484" w:name="_Toc300935004"/>
      <w:bookmarkStart w:id="485" w:name="_Toc297216213"/>
      <w:bookmarkStart w:id="486" w:name="_Toc312678042"/>
      <w:bookmarkStart w:id="487" w:name="_Toc296503207"/>
      <w:bookmarkStart w:id="488" w:name="_Toc296347206"/>
      <w:bookmarkStart w:id="489" w:name="_Toc296346708"/>
      <w:bookmarkStart w:id="490" w:name="_Toc297048393"/>
      <w:bookmarkStart w:id="491" w:name="_Toc292559412"/>
      <w:bookmarkStart w:id="492" w:name="_Toc292559917"/>
      <w:bookmarkStart w:id="493" w:name="_Toc296891035"/>
      <w:bookmarkStart w:id="494" w:name="_Toc296891247"/>
      <w:bookmarkStart w:id="495" w:name="_Toc297120507"/>
      <w:bookmarkStart w:id="496" w:name="_Toc296944546"/>
      <w:r>
        <w:rPr>
          <w:rFonts w:hint="eastAsia" w:ascii="宋体" w:hAnsi="宋体" w:eastAsia="宋体" w:cs="宋体"/>
          <w:color w:val="auto"/>
          <w:sz w:val="21"/>
          <w:szCs w:val="21"/>
          <w:highlight w:val="none"/>
        </w:rPr>
        <w:t>12.2 预付款</w:t>
      </w:r>
    </w:p>
    <w:bookmarkEnd w:id="481"/>
    <w:bookmarkEnd w:id="482"/>
    <w:bookmarkEnd w:id="483"/>
    <w:bookmarkEnd w:id="484"/>
    <w:bookmarkEnd w:id="485"/>
    <w:bookmarkEnd w:id="486"/>
    <w:p w14:paraId="47CF951D">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12.2.1 预付款的支付</w:t>
      </w:r>
    </w:p>
    <w:p w14:paraId="421C90F2">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预付款支付比例或金额：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3C7A6A81">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预付款支付期限：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45748D79">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预付款扣回的方式</w:t>
      </w:r>
      <w:r>
        <w:rPr>
          <w:rFonts w:hint="eastAsia" w:ascii="宋体" w:hAnsi="宋体" w:eastAsia="宋体" w:cs="宋体"/>
          <w:color w:val="auto"/>
          <w:sz w:val="21"/>
          <w:szCs w:val="21"/>
          <w:highlight w:val="none"/>
          <w:lang w:eastAsia="zh-CN"/>
        </w:rPr>
        <w:t>：</w:t>
      </w:r>
    </w:p>
    <w:p w14:paraId="60A98BB1">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12.2.2 预付款担保</w:t>
      </w:r>
    </w:p>
    <w:p w14:paraId="76BFCB70">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承包人提交预付款担保的期限：</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w:t>
      </w:r>
    </w:p>
    <w:p w14:paraId="3B7A4876">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预付款担保的形式为</w:t>
      </w:r>
      <w:r>
        <w:rPr>
          <w:rFonts w:hint="eastAsia" w:ascii="宋体" w:hAnsi="宋体" w:eastAsia="宋体" w:cs="宋体"/>
          <w:color w:val="auto"/>
          <w:sz w:val="21"/>
          <w:szCs w:val="21"/>
          <w:highlight w:val="none"/>
          <w:lang w:eastAsia="zh-CN"/>
        </w:rPr>
        <w:t>：</w:t>
      </w:r>
    </w:p>
    <w:bookmarkEnd w:id="487"/>
    <w:bookmarkEnd w:id="488"/>
    <w:bookmarkEnd w:id="489"/>
    <w:bookmarkEnd w:id="490"/>
    <w:bookmarkEnd w:id="491"/>
    <w:bookmarkEnd w:id="492"/>
    <w:bookmarkEnd w:id="493"/>
    <w:bookmarkEnd w:id="494"/>
    <w:bookmarkEnd w:id="495"/>
    <w:bookmarkEnd w:id="496"/>
    <w:p w14:paraId="0B6AA498">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 计量</w:t>
      </w:r>
    </w:p>
    <w:p w14:paraId="0B4E9885">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12.3.1 计量原则</w:t>
      </w:r>
    </w:p>
    <w:p w14:paraId="2128CF5B">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工程量计算规则：《建设工程工程量清单计价规范》（GB50500-2013）及对应的2013版计量规范、《江苏省建设工程费用定额》（2014年版）、《江苏省建筑与装饰工程计价定额</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江苏省安装工程计价定额》</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2014版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《江苏省市政工程计价定额》（2014版）等       </w:t>
      </w:r>
    </w:p>
    <w:p w14:paraId="109EDCB8">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12.3.2 计量周期</w:t>
      </w:r>
    </w:p>
    <w:p w14:paraId="28F23B75">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关于计量周期的约定：按工程形象进度分段计量。</w:t>
      </w:r>
    </w:p>
    <w:p w14:paraId="7C7EF8E7">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12.3.3 单价合同的计量</w:t>
      </w:r>
    </w:p>
    <w:p w14:paraId="6E5201AA">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关于单价合同计量的约定：计量范围与要求</w:t>
      </w:r>
    </w:p>
    <w:p w14:paraId="0466A0FB">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①只能对工程量清单、变更工程、计日工等合同规定支付的项目计量，此范围以外的不得进行计量 ；</w:t>
      </w:r>
    </w:p>
    <w:p w14:paraId="0F9031EE">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②计量必须严格按合同规定的方法、范围、内容、单位进行 ；</w:t>
      </w:r>
    </w:p>
    <w:p w14:paraId="0251045F">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③工程质量未经检验或检验不合格的，不得计量；因承包人原因造成返工的工程量不予计量 ；</w:t>
      </w:r>
    </w:p>
    <w:p w14:paraId="7ED43024">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④无论一般的和当地的习惯如何，除合同中另有规定，工程的计量应以净值为准。因此，属于承包人超出设计图纸范围的工程量不予计量 。   </w:t>
      </w:r>
    </w:p>
    <w:p w14:paraId="0F75A0E2">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12.3.4 总价合同的计量</w:t>
      </w:r>
    </w:p>
    <w:p w14:paraId="44B45881">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关于总价合同计量的约定： </w:t>
      </w:r>
    </w:p>
    <w:p w14:paraId="67C50D3A">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12.3.5总价合同采用支付分解表计量支付的，是否适用第12.3.4 项〔总价合同的计量〕约定进行计量：                    </w:t>
      </w:r>
    </w:p>
    <w:p w14:paraId="66745232">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 其他价格形式合同的计量 </w:t>
      </w:r>
    </w:p>
    <w:p w14:paraId="12E636CB">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其他价格形式的计量方式和程序：  </w:t>
      </w:r>
    </w:p>
    <w:p w14:paraId="1CF6CAEC">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 工程进度款支付</w:t>
      </w:r>
    </w:p>
    <w:p w14:paraId="21C37249">
      <w:pPr>
        <w:spacing w:line="400" w:lineRule="atLeast"/>
        <w:ind w:firstLine="420"/>
        <w:rPr>
          <w:rFonts w:hint="eastAsia" w:ascii="宋体" w:hAnsi="宋体" w:cs="宋体"/>
          <w:b/>
          <w:bCs/>
          <w:color w:val="auto"/>
          <w:szCs w:val="21"/>
          <w:highlight w:val="none"/>
          <w:lang w:val="en-US" w:eastAsia="zh-CN"/>
        </w:rPr>
      </w:pPr>
      <w:bookmarkStart w:id="497" w:name="_Toc296347210"/>
      <w:bookmarkStart w:id="498" w:name="_Toc296346712"/>
      <w:bookmarkStart w:id="499" w:name="_Toc303539163"/>
      <w:bookmarkStart w:id="500" w:name="_Toc296891251"/>
      <w:bookmarkStart w:id="501" w:name="_Toc297048397"/>
      <w:bookmarkStart w:id="502" w:name="_Toc300935006"/>
      <w:bookmarkStart w:id="503" w:name="_Toc292559921"/>
      <w:bookmarkStart w:id="504" w:name="_Toc296891039"/>
      <w:bookmarkStart w:id="505" w:name="_Toc296503211"/>
      <w:bookmarkStart w:id="506" w:name="_Toc292559416"/>
      <w:bookmarkStart w:id="507" w:name="_Toc297123556"/>
      <w:bookmarkStart w:id="508" w:name="_Toc297120511"/>
      <w:bookmarkStart w:id="509" w:name="_Toc296944550"/>
      <w:bookmarkStart w:id="510" w:name="_Toc297216215"/>
      <w:r>
        <w:rPr>
          <w:rFonts w:hint="eastAsia" w:ascii="宋体" w:hAnsi="宋体" w:eastAsia="宋体" w:cs="宋体"/>
          <w:b/>
          <w:bCs/>
          <w:color w:val="auto"/>
          <w:sz w:val="21"/>
          <w:szCs w:val="21"/>
          <w:highlight w:val="none"/>
        </w:rPr>
        <w:t xml:space="preserve">12.4.1 </w:t>
      </w:r>
      <w:r>
        <w:rPr>
          <w:rFonts w:hint="eastAsia" w:ascii="宋体" w:hAnsi="宋体" w:cs="宋体"/>
          <w:b/>
          <w:bCs/>
          <w:color w:val="auto"/>
          <w:szCs w:val="21"/>
          <w:highlight w:val="none"/>
          <w:lang w:val="en-US" w:eastAsia="zh-CN"/>
        </w:rPr>
        <w:t>工程付款：合同签订生效后付合同总价40%预付款，工程完工并竣工验收合格后，付至合同价90%，出具审计报告后付至审定价的100%。结算时承包人须提供满足发包人要求的增值税发票。（建议数字人民币支付）</w:t>
      </w:r>
    </w:p>
    <w:p w14:paraId="0D43F2DF">
      <w:pPr>
        <w:spacing w:line="400" w:lineRule="atLeast"/>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u w:val="single"/>
        </w:rPr>
        <w:t>承包人工程结算审计核减额超出5%的，超出部分的核减审计费用由承包人承担，5%以内核减额的审计基本费全部由项目发包方承担</w:t>
      </w:r>
      <w:r>
        <w:rPr>
          <w:rFonts w:hint="eastAsia" w:ascii="宋体" w:hAnsi="宋体" w:eastAsia="宋体" w:cs="宋体"/>
          <w:color w:val="auto"/>
          <w:szCs w:val="21"/>
          <w:highlight w:val="none"/>
          <w:u w:val="single"/>
          <w:lang w:eastAsia="zh-CN"/>
        </w:rPr>
        <w:t>。</w:t>
      </w:r>
    </w:p>
    <w:p w14:paraId="69212600">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12.4.2 进度付款申请单的编制</w:t>
      </w:r>
    </w:p>
    <w:p w14:paraId="16B3B670">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关于进度付款申请单编制的约定：</w:t>
      </w:r>
      <w:r>
        <w:rPr>
          <w:rFonts w:hint="eastAsia" w:ascii="宋体" w:hAnsi="宋体" w:eastAsia="宋体" w:cs="宋体"/>
          <w:color w:val="auto"/>
          <w:sz w:val="21"/>
          <w:szCs w:val="21"/>
          <w:highlight w:val="none"/>
          <w:u w:val="single"/>
        </w:rPr>
        <w:t>按专用合同条款第12.4.1项〔付款周期〕的约定，及时提交进度付款申请单。但如发生合同内调减的工程量，由发包人核实后，在同期工程款支付中予以全部扣除</w:t>
      </w:r>
      <w:r>
        <w:rPr>
          <w:rFonts w:hint="eastAsia" w:ascii="宋体" w:hAnsi="宋体" w:eastAsia="宋体" w:cs="宋体"/>
          <w:color w:val="auto"/>
          <w:sz w:val="21"/>
          <w:szCs w:val="21"/>
          <w:highlight w:val="none"/>
        </w:rPr>
        <w:t>。</w:t>
      </w:r>
    </w:p>
    <w:p w14:paraId="1C330C52">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r>
        <w:rPr>
          <w:rFonts w:hint="eastAsia" w:ascii="宋体" w:hAnsi="宋体" w:eastAsia="宋体" w:cs="宋体"/>
          <w:color w:val="auto"/>
          <w:sz w:val="21"/>
          <w:szCs w:val="21"/>
          <w:highlight w:val="none"/>
        </w:rPr>
        <w:t>2.4.3 进度付款申请单的提交</w:t>
      </w:r>
    </w:p>
    <w:p w14:paraId="26941C92">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（1）单价合同进度付款申请单提交的约定：</w:t>
      </w:r>
      <w:r>
        <w:rPr>
          <w:rFonts w:hint="eastAsia" w:ascii="宋体" w:hAnsi="宋体" w:eastAsia="宋体" w:cs="宋体"/>
          <w:color w:val="auto"/>
          <w:sz w:val="21"/>
          <w:szCs w:val="21"/>
          <w:highlight w:val="none"/>
          <w:u w:val="single"/>
        </w:rPr>
        <w:t>按专用合同条款第12.4.1项〔付款周期〕的约定，及时提交进度付款申请单。但如发生合同内调减的工程量，由发包人核实后，在同期工程款支付中予以全部扣除</w:t>
      </w:r>
      <w:r>
        <w:rPr>
          <w:rFonts w:hint="eastAsia" w:ascii="宋体" w:hAnsi="宋体" w:eastAsia="宋体" w:cs="宋体"/>
          <w:color w:val="auto"/>
          <w:sz w:val="21"/>
          <w:szCs w:val="21"/>
          <w:highlight w:val="none"/>
        </w:rPr>
        <w:t>。</w:t>
      </w:r>
    </w:p>
    <w:p w14:paraId="14F113A1">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（2）总价合同进度付款申请单提交的约定：</w:t>
      </w:r>
      <w:r>
        <w:rPr>
          <w:rFonts w:hint="eastAsia" w:ascii="宋体" w:hAnsi="宋体" w:eastAsia="宋体" w:cs="宋体"/>
          <w:color w:val="auto"/>
          <w:sz w:val="21"/>
          <w:szCs w:val="21"/>
          <w:highlight w:val="none"/>
          <w:u w:val="single"/>
        </w:rPr>
        <w:t xml:space="preserve">不采用 </w:t>
      </w:r>
      <w:r>
        <w:rPr>
          <w:rFonts w:hint="eastAsia" w:ascii="宋体" w:hAnsi="宋体" w:eastAsia="宋体" w:cs="宋体"/>
          <w:color w:val="auto"/>
          <w:sz w:val="21"/>
          <w:szCs w:val="21"/>
          <w:highlight w:val="none"/>
        </w:rPr>
        <w:t>。</w:t>
      </w:r>
    </w:p>
    <w:p w14:paraId="4C2B9385">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（3）其他价格形式合同进度付款申请单提交的约定</w:t>
      </w:r>
      <w:r>
        <w:rPr>
          <w:rFonts w:hint="eastAsia" w:ascii="宋体" w:hAnsi="宋体" w:eastAsia="宋体" w:cs="宋体"/>
          <w:color w:val="auto"/>
          <w:sz w:val="21"/>
          <w:szCs w:val="21"/>
          <w:highlight w:val="none"/>
          <w:lang w:eastAsia="zh-CN"/>
        </w:rPr>
        <w:t>：</w:t>
      </w:r>
    </w:p>
    <w:p w14:paraId="163BCACC">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12.4.4 进度款审核和支付</w:t>
      </w:r>
    </w:p>
    <w:bookmarkEnd w:id="340"/>
    <w:p w14:paraId="2089E3C9">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bookmarkStart w:id="511" w:name="_Toc280868707"/>
      <w:bookmarkStart w:id="512" w:name="_Toc280868706"/>
      <w:bookmarkStart w:id="513" w:name="_Toc280868708"/>
      <w:bookmarkStart w:id="514" w:name="_Toc280868709"/>
      <w:bookmarkStart w:id="515" w:name="_Toc267251471"/>
      <w:bookmarkStart w:id="516" w:name="_Toc267251473"/>
      <w:bookmarkStart w:id="517" w:name="_Toc267251475"/>
      <w:bookmarkStart w:id="518" w:name="_Toc267251472"/>
      <w:bookmarkStart w:id="519" w:name="_Toc267251476"/>
      <w:bookmarkStart w:id="520" w:name="_Toc267251474"/>
      <w:bookmarkStart w:id="521" w:name="_Toc267251470"/>
      <w:r>
        <w:rPr>
          <w:rFonts w:hint="eastAsia" w:ascii="宋体" w:hAnsi="宋体" w:eastAsia="宋体" w:cs="宋体"/>
          <w:color w:val="auto"/>
          <w:sz w:val="21"/>
          <w:szCs w:val="21"/>
          <w:highlight w:val="none"/>
        </w:rPr>
        <w:t>（1）监理人审查并报送发包人的期限：</w:t>
      </w:r>
      <w:r>
        <w:rPr>
          <w:rFonts w:hint="eastAsia" w:ascii="宋体" w:hAnsi="宋体" w:eastAsia="宋体" w:cs="宋体"/>
          <w:color w:val="auto"/>
          <w:sz w:val="21"/>
          <w:szCs w:val="21"/>
          <w:highlight w:val="none"/>
          <w:u w:val="single"/>
        </w:rPr>
        <w:t>监理人应在收到承包人进度付款申请单以及相关资料后7天内完成审查并报送发包人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48B21366">
      <w:pPr>
        <w:pageBreakBefore w:val="0"/>
        <w:widowControl w:val="0"/>
        <w:kinsoku/>
        <w:wordWrap/>
        <w:overflowPunct/>
        <w:topLinePunct w:val="0"/>
        <w:bidi w:val="0"/>
        <w:spacing w:line="380" w:lineRule="exact"/>
        <w:ind w:left="0" w:left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发包人完成审批并签发进度款支付证书的期限：</w:t>
      </w:r>
      <w:r>
        <w:rPr>
          <w:rFonts w:hint="eastAsia" w:ascii="宋体" w:hAnsi="宋体" w:eastAsia="宋体" w:cs="宋体"/>
          <w:color w:val="auto"/>
          <w:sz w:val="21"/>
          <w:szCs w:val="21"/>
          <w:highlight w:val="none"/>
          <w:u w:val="single"/>
        </w:rPr>
        <w:t xml:space="preserve">14天 </w:t>
      </w:r>
    </w:p>
    <w:p w14:paraId="463BE503">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strike/>
          <w:color w:val="auto"/>
          <w:sz w:val="21"/>
          <w:szCs w:val="21"/>
          <w:highlight w:val="none"/>
        </w:rPr>
      </w:pPr>
      <w:r>
        <w:rPr>
          <w:rFonts w:hint="eastAsia" w:ascii="宋体" w:hAnsi="宋体" w:eastAsia="宋体" w:cs="宋体"/>
          <w:color w:val="auto"/>
          <w:sz w:val="21"/>
          <w:szCs w:val="21"/>
          <w:highlight w:val="none"/>
        </w:rPr>
        <w:t>（2）发包人支付进度款的期限：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w:t>
      </w:r>
    </w:p>
    <w:p w14:paraId="36938AD7">
      <w:pPr>
        <w:pageBreakBefore w:val="0"/>
        <w:widowControl w:val="0"/>
        <w:kinsoku/>
        <w:wordWrap/>
        <w:overflowPunct/>
        <w:topLinePunct w:val="0"/>
        <w:bidi w:val="0"/>
        <w:spacing w:line="380" w:lineRule="exact"/>
        <w:ind w:left="0" w:left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发包人逾期支付进度款的违约金的计算方式：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13949F42">
      <w:pPr>
        <w:pageBreakBefore w:val="0"/>
        <w:widowControl w:val="0"/>
        <w:kinsoku/>
        <w:wordWrap/>
        <w:overflowPunct/>
        <w:topLinePunct w:val="0"/>
        <w:bidi w:val="0"/>
        <w:spacing w:line="380" w:lineRule="exact"/>
        <w:ind w:left="0" w:leftChars="0" w:firstLine="525" w:firstLineChars="2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 xml:space="preserve"> 支付分解表的编制</w:t>
      </w:r>
    </w:p>
    <w:p w14:paraId="6C49E333">
      <w:pPr>
        <w:pageBreakBefore w:val="0"/>
        <w:widowControl w:val="0"/>
        <w:kinsoku/>
        <w:wordWrap/>
        <w:overflowPunct/>
        <w:topLinePunct w:val="0"/>
        <w:bidi w:val="0"/>
        <w:spacing w:line="380" w:lineRule="exact"/>
        <w:ind w:left="3780" w:leftChars="0" w:hanging="3780" w:hangingChars="18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总价合同支付分解表的编制与审批：</w:t>
      </w:r>
      <w:r>
        <w:rPr>
          <w:rFonts w:hint="eastAsia" w:ascii="宋体" w:hAnsi="宋体" w:eastAsia="宋体" w:cs="宋体"/>
          <w:color w:val="auto"/>
          <w:sz w:val="21"/>
          <w:szCs w:val="21"/>
          <w:highlight w:val="none"/>
          <w:u w:val="single"/>
        </w:rPr>
        <w:t xml:space="preserve"> 不采用 </w:t>
      </w:r>
      <w:r>
        <w:rPr>
          <w:rFonts w:hint="eastAsia" w:ascii="宋体" w:hAnsi="宋体" w:eastAsia="宋体" w:cs="宋体"/>
          <w:color w:val="auto"/>
          <w:sz w:val="21"/>
          <w:szCs w:val="21"/>
          <w:highlight w:val="none"/>
        </w:rPr>
        <w:t>。</w:t>
      </w:r>
    </w:p>
    <w:p w14:paraId="55535FC2">
      <w:pPr>
        <w:pageBreakBefore w:val="0"/>
        <w:widowControl w:val="0"/>
        <w:kinsoku/>
        <w:wordWrap/>
        <w:overflowPunct/>
        <w:topLinePunct w:val="0"/>
        <w:bidi w:val="0"/>
        <w:spacing w:line="380" w:lineRule="exact"/>
        <w:ind w:left="3780" w:leftChars="0" w:hanging="3780" w:hangingChars="18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单价合同的总价项目支付分解表的编制与审批：</w:t>
      </w:r>
      <w:r>
        <w:rPr>
          <w:rFonts w:hint="eastAsia" w:ascii="宋体" w:hAnsi="宋体" w:eastAsia="宋体" w:cs="宋体"/>
          <w:color w:val="auto"/>
          <w:sz w:val="21"/>
          <w:szCs w:val="21"/>
          <w:highlight w:val="none"/>
          <w:u w:val="single"/>
        </w:rPr>
        <w:t xml:space="preserve">本条通用合同条款不适用该项目 </w:t>
      </w:r>
      <w:r>
        <w:rPr>
          <w:rFonts w:hint="eastAsia" w:ascii="宋体" w:hAnsi="宋体" w:eastAsia="宋体" w:cs="宋体"/>
          <w:color w:val="auto"/>
          <w:sz w:val="21"/>
          <w:szCs w:val="21"/>
          <w:highlight w:val="none"/>
        </w:rPr>
        <w:t>。</w:t>
      </w:r>
    </w:p>
    <w:p w14:paraId="4870EFE7">
      <w:pPr>
        <w:pageBreakBefore w:val="0"/>
        <w:widowControl w:val="0"/>
        <w:kinsoku/>
        <w:wordWrap/>
        <w:overflowPunct/>
        <w:topLinePunct w:val="0"/>
        <w:bidi w:val="0"/>
        <w:spacing w:line="380" w:lineRule="exact"/>
        <w:ind w:left="3780" w:leftChars="200" w:hanging="3360" w:hangingChars="16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12.5 农民工工资专用账户与权益保障</w:t>
      </w:r>
    </w:p>
    <w:p w14:paraId="6E8892A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u w:val="single"/>
        </w:rPr>
      </w:pPr>
      <w:r>
        <w:rPr>
          <w:rFonts w:hint="eastAsia" w:ascii="宋体" w:hAnsi="宋体" w:eastAsia="宋体" w:cs="宋体"/>
          <w:color w:val="auto"/>
          <w:sz w:val="21"/>
          <w:szCs w:val="21"/>
          <w:highlight w:val="none"/>
          <w:u w:val="single"/>
          <w:lang w:eastAsia="zh-CN"/>
        </w:rPr>
        <w:t>（1）</w:t>
      </w:r>
      <w:r>
        <w:rPr>
          <w:rFonts w:hint="eastAsia"/>
          <w:color w:val="auto"/>
          <w:highlight w:val="none"/>
          <w:u w:val="single"/>
        </w:rPr>
        <w:t>开户银行应按规定履行监管义务，发现资金未按约定拨付、挪用等异常情形的，应在 24 小时内通知发包人、监理单位及属地人社部门；</w:t>
      </w:r>
    </w:p>
    <w:p w14:paraId="4F89AAE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u w:val="single"/>
        </w:rPr>
      </w:pPr>
      <w:r>
        <w:rPr>
          <w:rFonts w:hint="eastAsia" w:ascii="宋体" w:hAnsi="宋体" w:eastAsia="宋体" w:cs="宋体"/>
          <w:color w:val="auto"/>
          <w:sz w:val="21"/>
          <w:szCs w:val="21"/>
          <w:highlight w:val="none"/>
          <w:u w:val="single"/>
          <w:lang w:eastAsia="zh-CN"/>
        </w:rPr>
        <w:t>（2）</w:t>
      </w:r>
      <w:r>
        <w:rPr>
          <w:rFonts w:hint="eastAsia"/>
          <w:color w:val="auto"/>
          <w:highlight w:val="none"/>
          <w:u w:val="single"/>
        </w:rPr>
        <w:t>本项目统一使用农民工权益保障卡（社会保障卡）发放工资，实行 “一人一卡、本人持卡”，承包人不得扣押或变相扣押权益卡；</w:t>
      </w:r>
    </w:p>
    <w:p w14:paraId="5309EEA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auto"/>
          <w:highlight w:val="none"/>
          <w:u w:val="single"/>
        </w:rPr>
      </w:pPr>
      <w:r>
        <w:rPr>
          <w:rFonts w:hint="eastAsia" w:ascii="宋体" w:hAnsi="宋体" w:eastAsia="宋体" w:cs="宋体"/>
          <w:color w:val="auto"/>
          <w:sz w:val="21"/>
          <w:szCs w:val="21"/>
          <w:highlight w:val="none"/>
          <w:u w:val="single"/>
          <w:lang w:eastAsia="zh-CN"/>
        </w:rPr>
        <w:t>（3）</w:t>
      </w:r>
      <w:r>
        <w:rPr>
          <w:rFonts w:hint="eastAsia"/>
          <w:color w:val="auto"/>
          <w:highlight w:val="none"/>
          <w:u w:val="single"/>
        </w:rPr>
        <w:t>权益卡应注明项目名称、工资金额、维权电话（属地人社部门投诉电话）等信息，承包人应协助农民工查询工资发放记录。</w:t>
      </w:r>
    </w:p>
    <w:p w14:paraId="18F91A6D">
      <w:pPr>
        <w:pStyle w:val="2"/>
        <w:pageBreakBefore w:val="0"/>
        <w:widowControl w:val="0"/>
        <w:kinsoku/>
        <w:wordWrap/>
        <w:overflowPunct/>
        <w:topLinePunct w:val="0"/>
        <w:bidi w:val="0"/>
        <w:spacing w:line="380" w:lineRule="exact"/>
        <w:ind w:left="0" w:leftChars="0"/>
        <w:textAlignment w:val="auto"/>
        <w:rPr>
          <w:rFonts w:hint="eastAsia" w:ascii="宋体" w:hAnsi="宋体" w:eastAsia="宋体" w:cs="宋体"/>
          <w:b/>
          <w:bCs w:val="0"/>
          <w:color w:val="auto"/>
          <w:sz w:val="21"/>
          <w:szCs w:val="21"/>
          <w:highlight w:val="none"/>
        </w:rPr>
      </w:pPr>
      <w:bookmarkStart w:id="522" w:name="_Toc351203645"/>
      <w:bookmarkStart w:id="523" w:name="_Toc292559424"/>
      <w:bookmarkStart w:id="524" w:name="_Toc296891047"/>
      <w:bookmarkStart w:id="525" w:name="_Toc300935015"/>
      <w:bookmarkStart w:id="526" w:name="_Toc296944558"/>
      <w:bookmarkStart w:id="527" w:name="_Toc312678053"/>
      <w:bookmarkStart w:id="528" w:name="_Toc296347218"/>
      <w:bookmarkStart w:id="529" w:name="_Toc297123564"/>
      <w:bookmarkStart w:id="530" w:name="_Toc296503219"/>
      <w:bookmarkStart w:id="531" w:name="_Toc296346720"/>
      <w:bookmarkStart w:id="532" w:name="_Toc292559929"/>
      <w:bookmarkStart w:id="533" w:name="_Toc297120519"/>
      <w:bookmarkStart w:id="534" w:name="_Toc303539172"/>
      <w:bookmarkStart w:id="535" w:name="_Toc296891259"/>
      <w:bookmarkStart w:id="536" w:name="_Toc297216223"/>
      <w:bookmarkStart w:id="537" w:name="_Toc304295593"/>
      <w:bookmarkStart w:id="538" w:name="_Toc297048405"/>
      <w:r>
        <w:rPr>
          <w:rFonts w:hint="eastAsia" w:ascii="宋体" w:hAnsi="宋体" w:eastAsia="宋体" w:cs="宋体"/>
          <w:b/>
          <w:bCs w:val="0"/>
          <w:color w:val="auto"/>
          <w:sz w:val="21"/>
          <w:szCs w:val="21"/>
          <w:highlight w:val="none"/>
        </w:rPr>
        <w:t>13. 验收和工程试车</w:t>
      </w:r>
      <w:bookmarkEnd w:id="522"/>
    </w:p>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14:paraId="5F3A2DA6">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 分部分项工程验收</w:t>
      </w:r>
    </w:p>
    <w:p w14:paraId="4A88ED74">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03659D0D">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小时。</w:t>
      </w:r>
    </w:p>
    <w:p w14:paraId="01F93D42">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bookmarkStart w:id="539" w:name="_Toc297216224"/>
      <w:bookmarkStart w:id="540" w:name="_Toc296346724"/>
      <w:bookmarkStart w:id="541" w:name="_Toc292559933"/>
      <w:bookmarkStart w:id="542" w:name="_Toc312678056"/>
      <w:bookmarkStart w:id="543" w:name="_Toc296503223"/>
      <w:bookmarkStart w:id="544" w:name="_Toc300935016"/>
      <w:bookmarkStart w:id="545" w:name="_Toc296891051"/>
      <w:bookmarkStart w:id="546" w:name="_Toc292559428"/>
      <w:bookmarkStart w:id="547" w:name="_Toc296347222"/>
      <w:bookmarkStart w:id="548" w:name="_Toc304295596"/>
      <w:bookmarkStart w:id="549" w:name="_Toc296891263"/>
      <w:bookmarkStart w:id="550" w:name="_Toc296944562"/>
      <w:bookmarkStart w:id="551" w:name="_Toc297123565"/>
      <w:bookmarkStart w:id="552" w:name="_Toc297048409"/>
      <w:bookmarkStart w:id="553" w:name="_Toc297120523"/>
      <w:bookmarkStart w:id="554" w:name="_Toc303539173"/>
      <w:r>
        <w:rPr>
          <w:rFonts w:hint="eastAsia" w:ascii="宋体" w:hAnsi="宋体" w:eastAsia="宋体" w:cs="宋体"/>
          <w:color w:val="auto"/>
          <w:sz w:val="21"/>
          <w:szCs w:val="21"/>
          <w:highlight w:val="none"/>
        </w:rPr>
        <w:t>13.2 竣工验收</w:t>
      </w:r>
    </w:p>
    <w:p w14:paraId="35CBCB2F">
      <w:pPr>
        <w:pageBreakBefore w:val="0"/>
        <w:widowControl w:val="0"/>
        <w:kinsoku/>
        <w:wordWrap/>
        <w:overflowPunct/>
        <w:topLinePunct w:val="0"/>
        <w:bidi w:val="0"/>
        <w:spacing w:line="380" w:lineRule="exact"/>
        <w:ind w:left="420" w:leftChars="200" w:firstLine="210" w:firstLineChars="1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竣工前，承包人须提供属地人社部门出具的《农民工工资支付结清证明》，或发包人、监理单位共同核查确认的工资支付台账；未提供证明或核查发现工资拖欠的，发包人不得组织竣工验收，由此造成的工期延误由承包人承担。</w:t>
      </w:r>
    </w:p>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14:paraId="47FD0D4F">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bookmarkStart w:id="555" w:name="_Toc280868704"/>
      <w:r>
        <w:rPr>
          <w:rFonts w:hint="eastAsia" w:ascii="宋体" w:hAnsi="宋体" w:eastAsia="宋体" w:cs="宋体"/>
          <w:color w:val="auto"/>
          <w:sz w:val="21"/>
          <w:szCs w:val="21"/>
          <w:highlight w:val="none"/>
        </w:rPr>
        <w:t>13.2.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竣工验收程序</w:t>
      </w:r>
    </w:p>
    <w:bookmarkEnd w:id="555"/>
    <w:p w14:paraId="2A59CA7B">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关于竣工验收程序的约定：</w:t>
      </w:r>
      <w:r>
        <w:rPr>
          <w:rFonts w:hint="eastAsia" w:ascii="宋体" w:hAnsi="宋体" w:eastAsia="宋体" w:cs="宋体"/>
          <w:color w:val="auto"/>
          <w:sz w:val="21"/>
          <w:szCs w:val="21"/>
          <w:highlight w:val="none"/>
          <w:u w:val="single"/>
        </w:rPr>
        <w:t>按管理部门有关要求，</w:t>
      </w:r>
      <w:r>
        <w:rPr>
          <w:rFonts w:hint="eastAsia" w:ascii="宋体" w:hAnsi="宋体" w:eastAsia="宋体" w:cs="宋体"/>
          <w:color w:val="auto"/>
          <w:sz w:val="21"/>
          <w:szCs w:val="21"/>
          <w:highlight w:val="none"/>
          <w:u w:val="single"/>
          <w:lang w:eastAsia="zh-CN"/>
        </w:rPr>
        <w:t>其他</w:t>
      </w:r>
      <w:r>
        <w:rPr>
          <w:rFonts w:hint="eastAsia" w:ascii="宋体" w:hAnsi="宋体" w:eastAsia="宋体" w:cs="宋体"/>
          <w:color w:val="auto"/>
          <w:sz w:val="21"/>
          <w:szCs w:val="21"/>
          <w:highlight w:val="none"/>
          <w:u w:val="single"/>
        </w:rPr>
        <w:t xml:space="preserve"> 按通用合同条款执行</w:t>
      </w:r>
      <w:r>
        <w:rPr>
          <w:rFonts w:hint="eastAsia" w:ascii="宋体" w:hAnsi="宋体" w:eastAsia="宋体" w:cs="宋体"/>
          <w:color w:val="auto"/>
          <w:sz w:val="21"/>
          <w:szCs w:val="21"/>
          <w:highlight w:val="none"/>
        </w:rPr>
        <w:t>。</w:t>
      </w:r>
    </w:p>
    <w:p w14:paraId="72222A97">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发包人不按照本项约定组织竣工验收、颁发</w:t>
      </w:r>
      <w:r>
        <w:rPr>
          <w:rFonts w:hint="eastAsia" w:ascii="宋体" w:hAnsi="宋体" w:eastAsia="宋体" w:cs="宋体"/>
          <w:color w:val="auto"/>
          <w:kern w:val="0"/>
          <w:sz w:val="21"/>
          <w:szCs w:val="21"/>
          <w:highlight w:val="none"/>
          <w:lang w:eastAsia="zh-CN"/>
        </w:rPr>
        <w:t>工程验收</w:t>
      </w:r>
      <w:r>
        <w:rPr>
          <w:rFonts w:hint="eastAsia" w:ascii="宋体" w:hAnsi="宋体" w:eastAsia="宋体" w:cs="宋体"/>
          <w:color w:val="auto"/>
          <w:kern w:val="0"/>
          <w:sz w:val="21"/>
          <w:szCs w:val="21"/>
          <w:highlight w:val="none"/>
        </w:rPr>
        <w:t>证书的违约金的计算方法：</w:t>
      </w:r>
      <w:r>
        <w:rPr>
          <w:rFonts w:hint="eastAsia" w:ascii="宋体" w:hAnsi="宋体" w:eastAsia="宋体" w:cs="宋体"/>
          <w:color w:val="auto"/>
          <w:sz w:val="21"/>
          <w:szCs w:val="21"/>
          <w:highlight w:val="none"/>
          <w:u w:val="single"/>
        </w:rPr>
        <w:t>本条通用合同条款不适用该项目</w:t>
      </w:r>
      <w:r>
        <w:rPr>
          <w:rFonts w:hint="eastAsia" w:ascii="宋体" w:hAnsi="宋体" w:eastAsia="宋体" w:cs="宋体"/>
          <w:color w:val="auto"/>
          <w:sz w:val="21"/>
          <w:szCs w:val="21"/>
          <w:highlight w:val="none"/>
        </w:rPr>
        <w:t>。</w:t>
      </w:r>
    </w:p>
    <w:bookmarkEnd w:id="511"/>
    <w:bookmarkEnd w:id="512"/>
    <w:p w14:paraId="220647B6">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移交、接收全部与部分工程</w:t>
      </w:r>
    </w:p>
    <w:p w14:paraId="205861A6">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承包人向发包人移交工程的期限：</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  。</w:t>
      </w:r>
    </w:p>
    <w:p w14:paraId="28DDC50E">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发包人未按本合同约定接收全部或部分工程的，违约金的计算方法为：</w:t>
      </w:r>
      <w:r>
        <w:rPr>
          <w:rFonts w:hint="eastAsia" w:ascii="宋体" w:hAnsi="宋体" w:eastAsia="宋体" w:cs="宋体"/>
          <w:color w:val="auto"/>
          <w:sz w:val="21"/>
          <w:szCs w:val="21"/>
          <w:highlight w:val="none"/>
          <w:u w:val="single"/>
        </w:rPr>
        <w:t xml:space="preserve">本条通用合同条款不适用该项目   </w:t>
      </w:r>
      <w:r>
        <w:rPr>
          <w:rFonts w:hint="eastAsia" w:ascii="宋体" w:hAnsi="宋体" w:eastAsia="宋体" w:cs="宋体"/>
          <w:color w:val="auto"/>
          <w:sz w:val="21"/>
          <w:szCs w:val="21"/>
          <w:highlight w:val="none"/>
        </w:rPr>
        <w:t xml:space="preserve"> 。</w:t>
      </w:r>
    </w:p>
    <w:p w14:paraId="035902B4">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承包人未按时移交工程的，违约金的计算方法为：</w:t>
      </w:r>
      <w:r>
        <w:rPr>
          <w:rFonts w:hint="eastAsia" w:ascii="宋体" w:hAnsi="宋体" w:eastAsia="宋体" w:cs="宋体"/>
          <w:color w:val="auto"/>
          <w:sz w:val="21"/>
          <w:szCs w:val="21"/>
          <w:highlight w:val="none"/>
          <w:u w:val="single"/>
        </w:rPr>
        <w:t xml:space="preserve">每逾期一天，承包人应向发包人支付合同价的千分之一的违约金，并赔偿由此给发包人造成的各种损失  </w:t>
      </w:r>
    </w:p>
    <w:p w14:paraId="27773F9B">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 工程试车</w:t>
      </w:r>
    </w:p>
    <w:bookmarkEnd w:id="513"/>
    <w:p w14:paraId="35D58F32">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13.3.1 试车程序</w:t>
      </w:r>
    </w:p>
    <w:p w14:paraId="467E161E">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工程试车内容</w:t>
      </w:r>
      <w:r>
        <w:rPr>
          <w:rFonts w:hint="eastAsia" w:ascii="宋体" w:hAnsi="宋体" w:cs="宋体"/>
          <w:color w:val="auto"/>
          <w:kern w:val="0"/>
          <w:sz w:val="21"/>
          <w:szCs w:val="21"/>
          <w:highlight w:val="none"/>
          <w:lang w:eastAsia="zh-CN"/>
        </w:rPr>
        <w:t>：</w:t>
      </w:r>
    </w:p>
    <w:p w14:paraId="276556A8">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（1）单机无负荷试车费用由</w:t>
      </w:r>
      <w:r>
        <w:rPr>
          <w:rFonts w:hint="eastAsia" w:ascii="宋体" w:hAnsi="宋体" w:eastAsia="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rPr>
        <w:t>承担</w:t>
      </w:r>
      <w:r>
        <w:rPr>
          <w:rFonts w:hint="eastAsia" w:ascii="宋体" w:hAnsi="宋体" w:eastAsia="宋体" w:cs="宋体"/>
          <w:color w:val="auto"/>
          <w:kern w:val="0"/>
          <w:sz w:val="21"/>
          <w:szCs w:val="21"/>
          <w:highlight w:val="none"/>
          <w:lang w:eastAsia="zh-CN"/>
        </w:rPr>
        <w:t>；</w:t>
      </w:r>
    </w:p>
    <w:p w14:paraId="09E02FC5">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（2）无负荷联动试车费用由</w:t>
      </w:r>
      <w:r>
        <w:rPr>
          <w:rFonts w:hint="eastAsia" w:ascii="宋体" w:hAnsi="宋体" w:eastAsia="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rPr>
        <w:t>承担。</w:t>
      </w:r>
    </w:p>
    <w:p w14:paraId="0AE27F95">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w:t>
      </w: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 xml:space="preserve"> 投料试车</w:t>
      </w:r>
    </w:p>
    <w:p w14:paraId="51245E41">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关于投料试车相关事项的约定</w:t>
      </w:r>
      <w:r>
        <w:rPr>
          <w:rFonts w:hint="eastAsia" w:ascii="宋体" w:hAnsi="宋体" w:cs="宋体"/>
          <w:color w:val="auto"/>
          <w:kern w:val="0"/>
          <w:sz w:val="21"/>
          <w:szCs w:val="21"/>
          <w:highlight w:val="none"/>
          <w:lang w:eastAsia="zh-CN"/>
        </w:rPr>
        <w:t>：</w:t>
      </w:r>
    </w:p>
    <w:p w14:paraId="424F519A">
      <w:pPr>
        <w:pageBreakBefore w:val="0"/>
        <w:widowControl w:val="0"/>
        <w:kinsoku/>
        <w:wordWrap/>
        <w:overflowPunct/>
        <w:topLinePunct w:val="0"/>
        <w:bidi w:val="0"/>
        <w:spacing w:line="380" w:lineRule="exact"/>
        <w:ind w:left="0" w:leftChars="0" w:firstLine="420" w:firstLineChars="200"/>
        <w:textAlignment w:val="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 xml:space="preserve"> 竣工退场</w:t>
      </w:r>
    </w:p>
    <w:p w14:paraId="50BB7AAE">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.1 竣工退场</w:t>
      </w:r>
    </w:p>
    <w:p w14:paraId="653649BB">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承包人完成竣工退场的期限：</w:t>
      </w:r>
      <w:r>
        <w:rPr>
          <w:rFonts w:hint="eastAsia" w:ascii="宋体" w:hAnsi="宋体" w:eastAsia="宋体" w:cs="宋体"/>
          <w:color w:val="auto"/>
          <w:sz w:val="21"/>
          <w:szCs w:val="21"/>
          <w:highlight w:val="none"/>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 </w:t>
      </w:r>
      <w:r>
        <w:rPr>
          <w:rFonts w:hint="eastAsia" w:ascii="宋体" w:hAnsi="宋体" w:eastAsia="宋体" w:cs="宋体"/>
          <w:color w:val="auto"/>
          <w:kern w:val="0"/>
          <w:sz w:val="21"/>
          <w:szCs w:val="21"/>
          <w:highlight w:val="none"/>
        </w:rPr>
        <w:t>。</w:t>
      </w:r>
    </w:p>
    <w:bookmarkEnd w:id="514"/>
    <w:bookmarkEnd w:id="515"/>
    <w:bookmarkEnd w:id="516"/>
    <w:bookmarkEnd w:id="517"/>
    <w:bookmarkEnd w:id="518"/>
    <w:bookmarkEnd w:id="519"/>
    <w:bookmarkEnd w:id="520"/>
    <w:bookmarkEnd w:id="521"/>
    <w:p w14:paraId="50D49765">
      <w:pPr>
        <w:pStyle w:val="2"/>
        <w:pageBreakBefore w:val="0"/>
        <w:widowControl w:val="0"/>
        <w:kinsoku/>
        <w:wordWrap/>
        <w:overflowPunct/>
        <w:topLinePunct w:val="0"/>
        <w:bidi w:val="0"/>
        <w:spacing w:line="380" w:lineRule="exact"/>
        <w:ind w:left="0" w:leftChars="0"/>
        <w:textAlignment w:val="auto"/>
        <w:rPr>
          <w:rFonts w:hint="eastAsia" w:ascii="宋体" w:hAnsi="宋体" w:eastAsia="宋体" w:cs="宋体"/>
          <w:b/>
          <w:bCs w:val="0"/>
          <w:color w:val="auto"/>
          <w:sz w:val="21"/>
          <w:szCs w:val="21"/>
          <w:highlight w:val="none"/>
        </w:rPr>
      </w:pPr>
      <w:bookmarkStart w:id="556" w:name="_Toc351203646"/>
      <w:r>
        <w:rPr>
          <w:rFonts w:hint="eastAsia" w:ascii="宋体" w:hAnsi="宋体" w:eastAsia="宋体" w:cs="宋体"/>
          <w:b/>
          <w:bCs w:val="0"/>
          <w:color w:val="auto"/>
          <w:sz w:val="21"/>
          <w:szCs w:val="21"/>
          <w:highlight w:val="none"/>
        </w:rPr>
        <w:t>14. 竣工结算</w:t>
      </w:r>
      <w:bookmarkEnd w:id="556"/>
    </w:p>
    <w:p w14:paraId="3BAD3CC6">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 竣工结算申请</w:t>
      </w:r>
    </w:p>
    <w:p w14:paraId="71AF7F13">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承包人提交竣工结算申请单的期限：</w:t>
      </w:r>
      <w:r>
        <w:rPr>
          <w:rFonts w:hint="eastAsia" w:ascii="宋体" w:hAnsi="宋体" w:eastAsia="宋体" w:cs="宋体"/>
          <w:color w:val="auto"/>
          <w:sz w:val="21"/>
          <w:szCs w:val="21"/>
          <w:highlight w:val="none"/>
          <w:u w:val="single"/>
        </w:rPr>
        <w:t xml:space="preserve"> 满足专用合同条款第12.4.1项〔付款周期〕中相应时间节点要求  </w:t>
      </w:r>
      <w:r>
        <w:rPr>
          <w:rFonts w:hint="eastAsia" w:ascii="宋体" w:hAnsi="宋体" w:eastAsia="宋体" w:cs="宋体"/>
          <w:color w:val="auto"/>
          <w:sz w:val="21"/>
          <w:szCs w:val="21"/>
          <w:highlight w:val="none"/>
        </w:rPr>
        <w:t>。</w:t>
      </w:r>
    </w:p>
    <w:p w14:paraId="37CE74F7">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竣工结算申请单应包括的内容：</w:t>
      </w:r>
      <w:r>
        <w:rPr>
          <w:rFonts w:hint="eastAsia" w:ascii="宋体" w:hAnsi="宋体" w:eastAsia="宋体" w:cs="宋体"/>
          <w:color w:val="auto"/>
          <w:sz w:val="21"/>
          <w:szCs w:val="21"/>
          <w:highlight w:val="none"/>
          <w:u w:val="single"/>
        </w:rPr>
        <w:t xml:space="preserve"> 按通用合同条款执行外，尚应提交相关的资料清单，包括但不限于（1）竣工结算书原件、工程量计算书原件及电子文件；（2）施工合同原件、中标通知书复印件（原件备查）；（3）招标文件、招标答疑、</w:t>
      </w:r>
      <w:r>
        <w:rPr>
          <w:rFonts w:hint="eastAsia" w:ascii="宋体" w:hAnsi="宋体" w:cs="宋体"/>
          <w:color w:val="auto"/>
          <w:sz w:val="21"/>
          <w:szCs w:val="21"/>
          <w:highlight w:val="none"/>
          <w:u w:val="single"/>
          <w:lang w:eastAsia="zh-CN"/>
        </w:rPr>
        <w:t>响应文件</w:t>
      </w:r>
      <w:r>
        <w:rPr>
          <w:rFonts w:hint="eastAsia" w:ascii="宋体" w:hAnsi="宋体" w:eastAsia="宋体" w:cs="宋体"/>
          <w:color w:val="auto"/>
          <w:sz w:val="21"/>
          <w:szCs w:val="21"/>
          <w:highlight w:val="none"/>
          <w:u w:val="single"/>
        </w:rPr>
        <w:t>原件及电子文件；（4）施工图纸、竣工图纸（蓝图）及电子文件；（5）竣工资料原件（包括开竣工报告、分部分项工程验收记录以及材料检测等资料，经监理核查装订成册，拟报档案</w:t>
      </w:r>
      <w:r>
        <w:rPr>
          <w:rFonts w:hint="eastAsia" w:ascii="宋体" w:hAnsi="宋体" w:eastAsia="宋体" w:cs="宋体"/>
          <w:color w:val="auto"/>
          <w:sz w:val="21"/>
          <w:szCs w:val="21"/>
          <w:highlight w:val="none"/>
          <w:u w:val="single"/>
          <w:lang w:val="en-US" w:eastAsia="zh-CN"/>
        </w:rPr>
        <w:t>馆</w:t>
      </w:r>
      <w:r>
        <w:rPr>
          <w:rFonts w:hint="eastAsia" w:ascii="宋体" w:hAnsi="宋体" w:eastAsia="宋体" w:cs="宋体"/>
          <w:color w:val="auto"/>
          <w:sz w:val="21"/>
          <w:szCs w:val="21"/>
          <w:highlight w:val="none"/>
          <w:u w:val="single"/>
        </w:rPr>
        <w:t xml:space="preserve">存档的资料）；（6）设计变更、工程签证、图纸会审、会议纪要等结算资料；（7）电子录像及照片；（8）甲供材料结算单、水电费结算单（如有）；（9）其他需要的资料。资料清单一式不少于3份   </w:t>
      </w:r>
      <w:r>
        <w:rPr>
          <w:rFonts w:hint="eastAsia" w:ascii="宋体" w:hAnsi="宋体" w:eastAsia="宋体" w:cs="宋体"/>
          <w:color w:val="auto"/>
          <w:sz w:val="21"/>
          <w:szCs w:val="21"/>
          <w:highlight w:val="none"/>
        </w:rPr>
        <w:t>。</w:t>
      </w:r>
    </w:p>
    <w:p w14:paraId="332CDFA0">
      <w:pPr>
        <w:pageBreakBefore w:val="0"/>
        <w:widowControl w:val="0"/>
        <w:kinsoku/>
        <w:wordWrap/>
        <w:overflowPunct/>
        <w:topLinePunct w:val="0"/>
        <w:bidi w:val="0"/>
        <w:spacing w:line="380" w:lineRule="exact"/>
        <w:ind w:left="0" w:leftChars="0" w:firstLine="420" w:firstLineChars="200"/>
        <w:textAlignment w:val="auto"/>
        <w:outlineLvl w:val="0"/>
        <w:rPr>
          <w:rFonts w:hint="eastAsia" w:ascii="宋体" w:hAnsi="宋体" w:eastAsia="宋体" w:cs="宋体"/>
          <w:color w:val="auto"/>
          <w:sz w:val="21"/>
          <w:szCs w:val="21"/>
          <w:highlight w:val="none"/>
        </w:rPr>
      </w:pPr>
      <w:bookmarkStart w:id="557" w:name="_Toc20146"/>
      <w:bookmarkStart w:id="558" w:name="_Toc5448"/>
      <w:r>
        <w:rPr>
          <w:rFonts w:hint="eastAsia" w:ascii="宋体" w:hAnsi="宋体" w:eastAsia="宋体" w:cs="宋体"/>
          <w:color w:val="auto"/>
          <w:sz w:val="21"/>
          <w:szCs w:val="21"/>
          <w:highlight w:val="none"/>
        </w:rPr>
        <w:t>14.2 竣工结算审核</w:t>
      </w:r>
      <w:bookmarkEnd w:id="557"/>
      <w:bookmarkEnd w:id="558"/>
    </w:p>
    <w:p w14:paraId="114BB418">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发包人审批竣工付款申请单的期限：</w:t>
      </w:r>
      <w:r>
        <w:rPr>
          <w:rFonts w:hint="eastAsia" w:ascii="宋体" w:hAnsi="宋体" w:eastAsia="宋体" w:cs="宋体"/>
          <w:color w:val="auto"/>
          <w:sz w:val="21"/>
          <w:szCs w:val="21"/>
          <w:highlight w:val="none"/>
          <w:u w:val="single"/>
        </w:rPr>
        <w:t>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p>
    <w:p w14:paraId="0A551795">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如因承包人提交的工程结算资料不完整，或者承包人不积极配合审计工作，或者承包人未及时确认审计结果，导致出具审核报告的时间延误，相应责任由承包人承担。</w:t>
      </w:r>
    </w:p>
    <w:p w14:paraId="7CDE99EE">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发包人完成竣工付款的期限：</w:t>
      </w:r>
      <w:r>
        <w:rPr>
          <w:rFonts w:hint="eastAsia" w:ascii="宋体" w:hAnsi="宋体" w:eastAsia="宋体" w:cs="宋体"/>
          <w:color w:val="auto"/>
          <w:sz w:val="21"/>
          <w:szCs w:val="21"/>
          <w:highlight w:val="none"/>
          <w:u w:val="single"/>
        </w:rPr>
        <w:t xml:space="preserve">本条通用条款不适用该项目，按专用合同条款第12.4.1项〔付款周期〕的约定执行  </w:t>
      </w:r>
      <w:r>
        <w:rPr>
          <w:rFonts w:hint="eastAsia" w:ascii="宋体" w:hAnsi="宋体" w:eastAsia="宋体" w:cs="宋体"/>
          <w:color w:val="auto"/>
          <w:sz w:val="21"/>
          <w:szCs w:val="21"/>
          <w:highlight w:val="none"/>
        </w:rPr>
        <w:t>。</w:t>
      </w:r>
    </w:p>
    <w:p w14:paraId="397EBD9A">
      <w:pPr>
        <w:pageBreakBefore w:val="0"/>
        <w:widowControl w:val="0"/>
        <w:kinsoku/>
        <w:wordWrap/>
        <w:overflowPunct/>
        <w:topLinePunct w:val="0"/>
        <w:bidi w:val="0"/>
        <w:spacing w:line="380" w:lineRule="exact"/>
        <w:ind w:left="0" w:left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关于竣工付款证书异议部分复核的方式和程序：</w:t>
      </w:r>
      <w:r>
        <w:rPr>
          <w:rFonts w:hint="eastAsia" w:ascii="宋体" w:hAnsi="宋体" w:eastAsia="宋体" w:cs="宋体"/>
          <w:color w:val="auto"/>
          <w:sz w:val="21"/>
          <w:szCs w:val="21"/>
          <w:highlight w:val="none"/>
          <w:u w:val="single"/>
        </w:rPr>
        <w:t xml:space="preserve">按照第20条〔争议解决〕约定处理 </w:t>
      </w:r>
      <w:r>
        <w:rPr>
          <w:rFonts w:hint="eastAsia" w:ascii="宋体" w:hAnsi="宋体" w:eastAsia="宋体" w:cs="宋体"/>
          <w:color w:val="auto"/>
          <w:sz w:val="21"/>
          <w:szCs w:val="21"/>
          <w:highlight w:val="none"/>
        </w:rPr>
        <w:t>。</w:t>
      </w:r>
    </w:p>
    <w:p w14:paraId="3866C4BD">
      <w:pPr>
        <w:pageBreakBefore w:val="0"/>
        <w:widowControl w:val="0"/>
        <w:numPr>
          <w:ilvl w:val="0"/>
          <w:numId w:val="10"/>
        </w:numPr>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最终结清</w:t>
      </w:r>
    </w:p>
    <w:p w14:paraId="6A8B55F5">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.1 最终结清申请单</w:t>
      </w:r>
    </w:p>
    <w:p w14:paraId="4B15E7D9">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承包人提交最终结清申请单的份数：</w:t>
      </w:r>
      <w:r>
        <w:rPr>
          <w:rFonts w:hint="eastAsia" w:ascii="宋体" w:hAnsi="宋体" w:eastAsia="宋体" w:cs="宋体"/>
          <w:color w:val="auto"/>
          <w:sz w:val="21"/>
          <w:szCs w:val="21"/>
          <w:highlight w:val="none"/>
          <w:u w:val="single"/>
        </w:rPr>
        <w:t xml:space="preserve"> 不少于4份    </w:t>
      </w:r>
      <w:r>
        <w:rPr>
          <w:rFonts w:hint="eastAsia" w:ascii="宋体" w:hAnsi="宋体" w:eastAsia="宋体" w:cs="宋体"/>
          <w:color w:val="auto"/>
          <w:sz w:val="21"/>
          <w:szCs w:val="21"/>
          <w:highlight w:val="none"/>
        </w:rPr>
        <w:t>。</w:t>
      </w:r>
    </w:p>
    <w:p w14:paraId="1E6C5CA2">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承包人提交最终结算申请单的期限：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 xml:space="preserve"> 。</w:t>
      </w:r>
    </w:p>
    <w:p w14:paraId="4F21E9A8">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.2 最终结清证书和支付</w:t>
      </w:r>
    </w:p>
    <w:p w14:paraId="70D9F6D6">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（1）发包人完成最终结清申请单的审批并颁发最终结清证书的期限：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616EFCBC">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（2）发包人完成支付的期限：</w:t>
      </w:r>
      <w:r>
        <w:rPr>
          <w:rFonts w:hint="eastAsia" w:ascii="宋体" w:hAnsi="宋体" w:eastAsia="宋体" w:cs="宋体"/>
          <w:color w:val="auto"/>
          <w:sz w:val="21"/>
          <w:szCs w:val="21"/>
          <w:highlight w:val="none"/>
          <w:u w:val="single"/>
        </w:rPr>
        <w:t xml:space="preserve">本条通用条款不适用该项目，按专用合同条款第12.4.1项〔付款周期〕的约定执行 </w:t>
      </w:r>
      <w:r>
        <w:rPr>
          <w:rFonts w:hint="eastAsia" w:ascii="宋体" w:hAnsi="宋体" w:eastAsia="宋体" w:cs="宋体"/>
          <w:color w:val="auto"/>
          <w:sz w:val="21"/>
          <w:szCs w:val="21"/>
          <w:highlight w:val="none"/>
        </w:rPr>
        <w:t>。</w:t>
      </w:r>
    </w:p>
    <w:p w14:paraId="2BDEB97B">
      <w:pPr>
        <w:pStyle w:val="2"/>
        <w:pageBreakBefore w:val="0"/>
        <w:widowControl w:val="0"/>
        <w:kinsoku/>
        <w:wordWrap/>
        <w:overflowPunct/>
        <w:topLinePunct w:val="0"/>
        <w:bidi w:val="0"/>
        <w:spacing w:line="380" w:lineRule="exact"/>
        <w:ind w:left="0" w:leftChars="0"/>
        <w:textAlignment w:val="auto"/>
        <w:rPr>
          <w:rFonts w:hint="eastAsia" w:ascii="宋体" w:hAnsi="宋体" w:eastAsia="宋体" w:cs="宋体"/>
          <w:b/>
          <w:bCs w:val="0"/>
          <w:color w:val="auto"/>
          <w:sz w:val="21"/>
          <w:szCs w:val="21"/>
          <w:highlight w:val="none"/>
        </w:rPr>
      </w:pPr>
      <w:bookmarkStart w:id="559" w:name="_Toc351203647"/>
      <w:bookmarkStart w:id="560" w:name="_Toc267251483"/>
      <w:bookmarkStart w:id="561" w:name="_Toc267251482"/>
      <w:bookmarkStart w:id="562" w:name="_Toc267251484"/>
      <w:bookmarkStart w:id="563" w:name="_Toc267251485"/>
      <w:bookmarkStart w:id="564" w:name="_Toc267251486"/>
      <w:bookmarkStart w:id="565" w:name="_Toc267251489"/>
      <w:bookmarkStart w:id="566" w:name="_Toc267251490"/>
      <w:bookmarkStart w:id="567" w:name="_Toc267251488"/>
      <w:bookmarkStart w:id="568" w:name="_Toc267251499"/>
      <w:bookmarkStart w:id="569" w:name="_Toc267251494"/>
      <w:bookmarkStart w:id="570" w:name="_Toc267251493"/>
      <w:bookmarkStart w:id="571" w:name="_Toc267251497"/>
      <w:bookmarkStart w:id="572" w:name="_Toc267251502"/>
      <w:bookmarkStart w:id="573" w:name="_Toc267251492"/>
      <w:bookmarkStart w:id="574" w:name="_Toc267251491"/>
      <w:bookmarkStart w:id="575" w:name="_Toc267251503"/>
      <w:bookmarkStart w:id="576" w:name="_Toc267251496"/>
      <w:bookmarkStart w:id="577" w:name="_Toc267251498"/>
      <w:bookmarkStart w:id="578" w:name="_Toc267251501"/>
      <w:bookmarkStart w:id="579" w:name="_Toc267251495"/>
      <w:bookmarkStart w:id="580" w:name="_Toc267251506"/>
      <w:bookmarkStart w:id="581" w:name="_Toc267251504"/>
      <w:bookmarkStart w:id="582" w:name="_Toc267251507"/>
      <w:bookmarkStart w:id="583" w:name="_Toc267251508"/>
      <w:bookmarkStart w:id="584" w:name="_Toc267251513"/>
      <w:bookmarkStart w:id="585" w:name="_Toc267251511"/>
      <w:bookmarkStart w:id="586" w:name="_Toc267251510"/>
      <w:bookmarkStart w:id="587" w:name="_Toc267251515"/>
      <w:bookmarkStart w:id="588" w:name="_Toc267251514"/>
      <w:bookmarkStart w:id="589" w:name="_Toc267251509"/>
      <w:r>
        <w:rPr>
          <w:rFonts w:hint="eastAsia" w:ascii="宋体" w:hAnsi="宋体" w:eastAsia="宋体" w:cs="宋体"/>
          <w:b/>
          <w:bCs w:val="0"/>
          <w:color w:val="auto"/>
          <w:sz w:val="21"/>
          <w:szCs w:val="21"/>
          <w:highlight w:val="none"/>
        </w:rPr>
        <w:t>15. 缺陷责任期与保修</w:t>
      </w:r>
      <w:bookmarkEnd w:id="559"/>
    </w:p>
    <w:p w14:paraId="10419B22">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缺陷责任期</w:t>
      </w:r>
      <w:bookmarkEnd w:id="560"/>
    </w:p>
    <w:p w14:paraId="1893752F">
      <w:pPr>
        <w:pageBreakBefore w:val="0"/>
        <w:widowControl w:val="0"/>
        <w:kinsoku/>
        <w:wordWrap/>
        <w:overflowPunct/>
        <w:topLinePunct w:val="0"/>
        <w:bidi w:val="0"/>
        <w:spacing w:line="380" w:lineRule="exact"/>
        <w:ind w:left="0" w:left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缺陷责任期的具体期限：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2年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F34EA8D">
      <w:pPr>
        <w:pageBreakBefore w:val="0"/>
        <w:widowControl w:val="0"/>
        <w:kinsoku/>
        <w:wordWrap/>
        <w:overflowPunct/>
        <w:topLinePunct w:val="0"/>
        <w:bidi w:val="0"/>
        <w:spacing w:line="380" w:lineRule="exact"/>
        <w:ind w:left="0" w:leftChars="0" w:firstLine="420" w:firstLineChars="200"/>
        <w:textAlignment w:val="auto"/>
        <w:outlineLvl w:val="0"/>
        <w:rPr>
          <w:rFonts w:hint="eastAsia" w:ascii="宋体" w:hAnsi="宋体" w:eastAsia="宋体" w:cs="宋体"/>
          <w:color w:val="auto"/>
          <w:sz w:val="21"/>
          <w:szCs w:val="21"/>
          <w:highlight w:val="none"/>
        </w:rPr>
      </w:pPr>
      <w:bookmarkStart w:id="590" w:name="_Toc3993"/>
      <w:bookmarkStart w:id="591" w:name="_Toc19685"/>
      <w:r>
        <w:rPr>
          <w:rFonts w:hint="eastAsia" w:ascii="宋体" w:hAnsi="宋体" w:eastAsia="宋体" w:cs="宋体"/>
          <w:color w:val="auto"/>
          <w:sz w:val="21"/>
          <w:szCs w:val="21"/>
          <w:highlight w:val="none"/>
        </w:rPr>
        <w:t>15.</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质量保证金</w:t>
      </w:r>
      <w:bookmarkEnd w:id="590"/>
      <w:bookmarkEnd w:id="591"/>
    </w:p>
    <w:p w14:paraId="1BCC5F32">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关于是否扣留质量保证金的约定：</w:t>
      </w:r>
      <w:r>
        <w:rPr>
          <w:rFonts w:hint="eastAsia" w:ascii="宋体" w:hAnsi="宋体" w:eastAsia="宋体" w:cs="宋体"/>
          <w:color w:val="auto"/>
          <w:sz w:val="21"/>
          <w:szCs w:val="21"/>
          <w:highlight w:val="none"/>
          <w:u w:val="single"/>
        </w:rPr>
        <w:t xml:space="preserve">   是   </w:t>
      </w:r>
      <w:r>
        <w:rPr>
          <w:rFonts w:hint="eastAsia" w:ascii="宋体" w:hAnsi="宋体" w:eastAsia="宋体" w:cs="宋体"/>
          <w:color w:val="auto"/>
          <w:sz w:val="21"/>
          <w:szCs w:val="21"/>
          <w:highlight w:val="none"/>
        </w:rPr>
        <w:t>。</w:t>
      </w:r>
    </w:p>
    <w:p w14:paraId="16ACC33A">
      <w:pPr>
        <w:pageBreakBefore w:val="0"/>
        <w:widowControl w:val="0"/>
        <w:kinsoku/>
        <w:wordWrap/>
        <w:overflowPunct/>
        <w:topLinePunct w:val="0"/>
        <w:bidi w:val="0"/>
        <w:spacing w:line="380" w:lineRule="exact"/>
        <w:ind w:left="0" w:leftChars="0" w:firstLine="420" w:firstLineChars="200"/>
        <w:jc w:val="left"/>
        <w:textAlignment w:val="auto"/>
        <w:outlineLvl w:val="0"/>
        <w:rPr>
          <w:rFonts w:hint="eastAsia" w:ascii="宋体" w:hAnsi="宋体" w:eastAsia="宋体" w:cs="宋体"/>
          <w:color w:val="auto"/>
          <w:sz w:val="21"/>
          <w:szCs w:val="21"/>
          <w:highlight w:val="none"/>
        </w:rPr>
      </w:pPr>
      <w:bookmarkStart w:id="592" w:name="_Toc5826"/>
      <w:bookmarkStart w:id="593" w:name="_Toc18867"/>
      <w:r>
        <w:rPr>
          <w:rFonts w:hint="eastAsia" w:ascii="宋体" w:hAnsi="宋体" w:eastAsia="宋体" w:cs="宋体"/>
          <w:color w:val="auto"/>
          <w:sz w:val="21"/>
          <w:szCs w:val="21"/>
          <w:highlight w:val="none"/>
        </w:rPr>
        <w:t>15.</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.1 承包人提供质量保证金的方式</w:t>
      </w:r>
      <w:bookmarkEnd w:id="592"/>
      <w:bookmarkEnd w:id="593"/>
    </w:p>
    <w:p w14:paraId="41A4A380">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w:t>
      </w:r>
    </w:p>
    <w:p w14:paraId="5BD58551">
      <w:pPr>
        <w:pageBreakBefore w:val="0"/>
        <w:widowControl w:val="0"/>
        <w:kinsoku/>
        <w:wordWrap/>
        <w:overflowPunct/>
        <w:topLinePunct w:val="0"/>
        <w:autoSpaceDE w:val="0"/>
        <w:autoSpaceDN w:val="0"/>
        <w:bidi w:val="0"/>
        <w:adjustRightInd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（1）质量保证金保函，保证金额为：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w:t>
      </w:r>
    </w:p>
    <w:p w14:paraId="5E142B10">
      <w:pPr>
        <w:pageBreakBefore w:val="0"/>
        <w:widowControl w:val="0"/>
        <w:kinsoku/>
        <w:wordWrap/>
        <w:overflowPunct/>
        <w:topLinePunct w:val="0"/>
        <w:autoSpaceDE w:val="0"/>
        <w:autoSpaceDN w:val="0"/>
        <w:bidi w:val="0"/>
        <w:adjustRightInd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cs="宋体"/>
          <w:color w:val="auto"/>
          <w:kern w:val="0"/>
          <w:sz w:val="21"/>
          <w:szCs w:val="21"/>
          <w:highlight w:val="none"/>
          <w:u w:val="single"/>
          <w:lang w:val="en-US" w:eastAsia="zh-CN"/>
        </w:rPr>
        <w:t>3</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kern w:val="0"/>
          <w:sz w:val="21"/>
          <w:szCs w:val="21"/>
          <w:highlight w:val="none"/>
        </w:rPr>
        <w:t>%的工程款；</w:t>
      </w:r>
    </w:p>
    <w:p w14:paraId="7C2A53DE">
      <w:pPr>
        <w:pageBreakBefore w:val="0"/>
        <w:widowControl w:val="0"/>
        <w:kinsoku/>
        <w:wordWrap/>
        <w:overflowPunct/>
        <w:topLinePunct w:val="0"/>
        <w:autoSpaceDE w:val="0"/>
        <w:autoSpaceDN w:val="0"/>
        <w:bidi w:val="0"/>
        <w:adjustRightInd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（3）其他方式</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28B7BE33">
      <w:pPr>
        <w:pageBreakBefore w:val="0"/>
        <w:widowControl w:val="0"/>
        <w:kinsoku/>
        <w:wordWrap/>
        <w:overflowPunct/>
        <w:topLinePunct w:val="0"/>
        <w:bidi w:val="0"/>
        <w:spacing w:line="380" w:lineRule="exact"/>
        <w:ind w:left="0" w:leftChars="0" w:firstLine="420" w:firstLineChars="200"/>
        <w:jc w:val="left"/>
        <w:textAlignment w:val="auto"/>
        <w:outlineLvl w:val="0"/>
        <w:rPr>
          <w:rFonts w:hint="eastAsia" w:ascii="宋体" w:hAnsi="宋体" w:eastAsia="宋体" w:cs="宋体"/>
          <w:color w:val="auto"/>
          <w:sz w:val="21"/>
          <w:szCs w:val="21"/>
          <w:highlight w:val="none"/>
        </w:rPr>
      </w:pPr>
      <w:bookmarkStart w:id="594" w:name="_Toc23845"/>
      <w:bookmarkStart w:id="595" w:name="_Toc16068"/>
      <w:r>
        <w:rPr>
          <w:rFonts w:hint="eastAsia" w:ascii="宋体" w:hAnsi="宋体" w:eastAsia="宋体" w:cs="宋体"/>
          <w:color w:val="auto"/>
          <w:sz w:val="21"/>
          <w:szCs w:val="21"/>
          <w:highlight w:val="none"/>
        </w:rPr>
        <w:t>15.</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.2 质量保证金的扣留</w:t>
      </w:r>
      <w:bookmarkEnd w:id="594"/>
      <w:bookmarkEnd w:id="595"/>
      <w:r>
        <w:rPr>
          <w:rFonts w:hint="eastAsia" w:ascii="宋体" w:hAnsi="宋体" w:eastAsia="宋体" w:cs="宋体"/>
          <w:color w:val="auto"/>
          <w:sz w:val="21"/>
          <w:szCs w:val="21"/>
          <w:highlight w:val="none"/>
        </w:rPr>
        <w:t xml:space="preserve"> </w:t>
      </w:r>
    </w:p>
    <w:p w14:paraId="61442EB4">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质量保证金的扣留采取以下第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w:t>
      </w:r>
    </w:p>
    <w:p w14:paraId="59F62C0B">
      <w:pPr>
        <w:pageBreakBefore w:val="0"/>
        <w:widowControl w:val="0"/>
        <w:kinsoku/>
        <w:wordWrap/>
        <w:overflowPunct/>
        <w:topLinePunct w:val="0"/>
        <w:autoSpaceDE w:val="0"/>
        <w:autoSpaceDN w:val="0"/>
        <w:bidi w:val="0"/>
        <w:adjustRightInd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（1）在支付工程进度款时逐次扣留，在此情形下，质量保证金的计算基数不包括预付款的支付、扣回以及价格调整的金额；</w:t>
      </w:r>
    </w:p>
    <w:p w14:paraId="6D508BAB">
      <w:pPr>
        <w:pageBreakBefore w:val="0"/>
        <w:widowControl w:val="0"/>
        <w:kinsoku/>
        <w:wordWrap/>
        <w:overflowPunct/>
        <w:topLinePunct w:val="0"/>
        <w:autoSpaceDE w:val="0"/>
        <w:autoSpaceDN w:val="0"/>
        <w:bidi w:val="0"/>
        <w:adjustRightInd w:val="0"/>
        <w:spacing w:line="380" w:lineRule="exact"/>
        <w:ind w:left="0" w:leftChars="0" w:firstLine="420" w:firstLineChars="200"/>
        <w:jc w:val="left"/>
        <w:textAlignment w:val="auto"/>
        <w:outlineLvl w:val="0"/>
        <w:rPr>
          <w:rFonts w:hint="eastAsia" w:ascii="宋体" w:hAnsi="宋体" w:eastAsia="宋体" w:cs="宋体"/>
          <w:color w:val="auto"/>
          <w:kern w:val="0"/>
          <w:sz w:val="21"/>
          <w:szCs w:val="21"/>
          <w:highlight w:val="none"/>
        </w:rPr>
      </w:pPr>
      <w:bookmarkStart w:id="596" w:name="_Toc29954"/>
      <w:bookmarkStart w:id="597" w:name="_Toc28386"/>
      <w:r>
        <w:rPr>
          <w:rFonts w:hint="eastAsia" w:ascii="宋体" w:hAnsi="宋体" w:eastAsia="宋体" w:cs="宋体"/>
          <w:color w:val="auto"/>
          <w:kern w:val="0"/>
          <w:sz w:val="21"/>
          <w:szCs w:val="21"/>
          <w:highlight w:val="none"/>
        </w:rPr>
        <w:t>（2）工程竣工结算时一次性扣留质量保证金；</w:t>
      </w:r>
      <w:bookmarkEnd w:id="596"/>
      <w:bookmarkEnd w:id="597"/>
    </w:p>
    <w:p w14:paraId="2AB93620">
      <w:pPr>
        <w:pageBreakBefore w:val="0"/>
        <w:widowControl w:val="0"/>
        <w:kinsoku/>
        <w:wordWrap/>
        <w:overflowPunct/>
        <w:topLinePunct w:val="0"/>
        <w:autoSpaceDE w:val="0"/>
        <w:autoSpaceDN w:val="0"/>
        <w:bidi w:val="0"/>
        <w:adjustRightInd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（3）其他扣留方式</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CDFB7A4">
      <w:pPr>
        <w:pageBreakBefore w:val="0"/>
        <w:widowControl w:val="0"/>
        <w:kinsoku/>
        <w:wordWrap/>
        <w:overflowPunct/>
        <w:topLinePunct w:val="0"/>
        <w:bidi w:val="0"/>
        <w:spacing w:line="380" w:lineRule="exact"/>
        <w:ind w:left="0" w:left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关于质量保证金的补充约定：</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bookmarkEnd w:id="561"/>
    <w:bookmarkEnd w:id="562"/>
    <w:p w14:paraId="5A43A351">
      <w:pPr>
        <w:pageBreakBefore w:val="0"/>
        <w:widowControl w:val="0"/>
        <w:kinsoku/>
        <w:wordWrap/>
        <w:overflowPunct/>
        <w:topLinePunct w:val="0"/>
        <w:bidi w:val="0"/>
        <w:spacing w:line="380" w:lineRule="exact"/>
        <w:ind w:left="0" w:leftChars="0" w:firstLine="420" w:firstLineChars="200"/>
        <w:textAlignment w:val="auto"/>
        <w:outlineLvl w:val="1"/>
        <w:rPr>
          <w:rFonts w:hint="eastAsia" w:ascii="宋体" w:hAnsi="宋体" w:eastAsia="宋体" w:cs="宋体"/>
          <w:color w:val="auto"/>
          <w:sz w:val="21"/>
          <w:szCs w:val="21"/>
          <w:highlight w:val="none"/>
        </w:rPr>
      </w:pPr>
      <w:bookmarkStart w:id="598" w:name="_Toc31564"/>
      <w:bookmarkStart w:id="599" w:name="_Toc12417"/>
      <w:r>
        <w:rPr>
          <w:rFonts w:hint="eastAsia" w:ascii="宋体" w:hAnsi="宋体" w:eastAsia="宋体" w:cs="宋体"/>
          <w:color w:val="auto"/>
          <w:sz w:val="21"/>
          <w:szCs w:val="21"/>
          <w:highlight w:val="none"/>
        </w:rPr>
        <w:t>15.</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保修</w:t>
      </w:r>
      <w:bookmarkEnd w:id="598"/>
      <w:bookmarkEnd w:id="599"/>
    </w:p>
    <w:bookmarkEnd w:id="563"/>
    <w:p w14:paraId="3B244078">
      <w:pPr>
        <w:pageBreakBefore w:val="0"/>
        <w:widowControl w:val="0"/>
        <w:kinsoku/>
        <w:wordWrap/>
        <w:overflowPunct/>
        <w:topLinePunct w:val="0"/>
        <w:bidi w:val="0"/>
        <w:spacing w:line="380" w:lineRule="exact"/>
        <w:ind w:left="0" w:leftChars="0" w:firstLine="409" w:firstLineChars="195"/>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.1 保修责任</w:t>
      </w:r>
    </w:p>
    <w:p w14:paraId="4CD4AABB">
      <w:pPr>
        <w:pageBreakBefore w:val="0"/>
        <w:kinsoku/>
        <w:overflowPunct/>
        <w:topLinePunct w:val="0"/>
        <w:bidi w:val="0"/>
        <w:spacing w:line="380" w:lineRule="exact"/>
        <w:ind w:firstLine="420" w:firstLineChars="200"/>
        <w:jc w:val="both"/>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工程保修期为：</w:t>
      </w:r>
      <w:r>
        <w:rPr>
          <w:rFonts w:hint="eastAsia" w:ascii="宋体" w:hAnsi="宋体" w:eastAsia="宋体" w:cs="宋体"/>
          <w:color w:val="auto"/>
          <w:sz w:val="21"/>
          <w:szCs w:val="21"/>
          <w:highlight w:val="none"/>
          <w:u w:val="single"/>
          <w:lang w:val="en-US" w:eastAsia="zh-CN"/>
        </w:rPr>
        <w:t xml:space="preserve">满足规范要求（见附件1建设工程质量保修书） </w:t>
      </w:r>
      <w:r>
        <w:rPr>
          <w:rFonts w:hint="eastAsia" w:ascii="宋体" w:hAnsi="宋体" w:eastAsia="宋体" w:cs="宋体"/>
          <w:color w:val="auto"/>
          <w:sz w:val="21"/>
          <w:szCs w:val="21"/>
          <w:highlight w:val="none"/>
          <w:u w:val="none"/>
          <w:lang w:val="en-US" w:eastAsia="zh-CN"/>
        </w:rPr>
        <w:t>。</w:t>
      </w:r>
    </w:p>
    <w:p w14:paraId="72B22AD4">
      <w:pPr>
        <w:pageBreakBefore w:val="0"/>
        <w:widowControl w:val="0"/>
        <w:kinsoku/>
        <w:wordWrap/>
        <w:overflowPunct/>
        <w:topLinePunct w:val="0"/>
        <w:bidi w:val="0"/>
        <w:spacing w:line="380" w:lineRule="exact"/>
        <w:ind w:left="0" w:leftChars="0" w:firstLine="409" w:firstLineChars="195"/>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修复通知</w:t>
      </w:r>
    </w:p>
    <w:p w14:paraId="6FEDFC15">
      <w:pPr>
        <w:keepNext w:val="0"/>
        <w:keepLines w:val="0"/>
        <w:pageBreakBefore w:val="0"/>
        <w:widowControl w:val="0"/>
        <w:kinsoku/>
        <w:wordWrap/>
        <w:overflowPunct/>
        <w:topLinePunct w:val="0"/>
        <w:autoSpaceDE/>
        <w:autoSpaceDN/>
        <w:bidi w:val="0"/>
        <w:adjustRightInd w:val="0"/>
        <w:snapToGrid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承包人收到保修通知并到达工程现场的合理时间：</w:t>
      </w:r>
      <w:r>
        <w:rPr>
          <w:rFonts w:hint="eastAsia" w:ascii="宋体" w:hAnsi="宋体" w:eastAsia="宋体" w:cs="宋体"/>
          <w:color w:val="auto"/>
          <w:sz w:val="21"/>
          <w:szCs w:val="21"/>
          <w:highlight w:val="none"/>
          <w:u w:val="single"/>
        </w:rPr>
        <w:t xml:space="preserve">承包人应在接到修理通知之日后    </w:t>
      </w:r>
      <w:r>
        <w:rPr>
          <w:rFonts w:hint="eastAsia" w:ascii="宋体" w:hAnsi="宋体" w:eastAsia="宋体" w:cs="宋体"/>
          <w:color w:val="auto"/>
          <w:sz w:val="21"/>
          <w:szCs w:val="21"/>
          <w:highlight w:val="none"/>
          <w:u w:val="single"/>
          <w:lang w:val="en-US" w:eastAsia="zh-CN"/>
        </w:rPr>
        <w:t>1</w:t>
      </w:r>
      <w:r>
        <w:rPr>
          <w:rFonts w:hint="eastAsia" w:ascii="宋体" w:hAnsi="宋体" w:eastAsia="宋体" w:cs="宋体"/>
          <w:color w:val="auto"/>
          <w:sz w:val="21"/>
          <w:szCs w:val="21"/>
          <w:highlight w:val="none"/>
          <w:u w:val="single"/>
        </w:rPr>
        <w:t>内派人进行修理。承包人不在约定期限内，派人修理，发包人可委托其他人员修理，产生的费用从质量保修金中扣除</w:t>
      </w:r>
      <w:r>
        <w:rPr>
          <w:rFonts w:hint="eastAsia" w:ascii="宋体" w:hAnsi="宋体" w:eastAsia="宋体" w:cs="宋体"/>
          <w:color w:val="auto"/>
          <w:sz w:val="21"/>
          <w:szCs w:val="21"/>
          <w:highlight w:val="none"/>
        </w:rPr>
        <w:t>。</w:t>
      </w:r>
    </w:p>
    <w:p w14:paraId="579AA356">
      <w:pPr>
        <w:pageBreakBefore w:val="0"/>
        <w:widowControl w:val="0"/>
        <w:kinsoku/>
        <w:wordWrap/>
        <w:overflowPunct/>
        <w:topLinePunct w:val="0"/>
        <w:bidi w:val="0"/>
        <w:spacing w:line="380" w:lineRule="exact"/>
        <w:ind w:left="0" w:leftChars="0" w:firstLine="409" w:firstLineChars="195"/>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2.</w:t>
      </w:r>
      <w:r>
        <w:rPr>
          <w:rFonts w:hint="eastAsia" w:ascii="宋体" w:hAnsi="宋体" w:eastAsia="宋体" w:cs="宋体"/>
          <w:color w:val="auto"/>
          <w:sz w:val="21"/>
          <w:szCs w:val="21"/>
          <w:highlight w:val="none"/>
          <w:u w:val="single"/>
        </w:rPr>
        <w:t>发生紧急抢修事故的，承包人在接到事故通知后，应立即到达事故现场抢修</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bookmarkEnd w:id="564"/>
    <w:bookmarkEnd w:id="565"/>
    <w:bookmarkEnd w:id="566"/>
    <w:bookmarkEnd w:id="567"/>
    <w:p w14:paraId="4B96157B">
      <w:pPr>
        <w:pStyle w:val="2"/>
        <w:pageBreakBefore w:val="0"/>
        <w:widowControl w:val="0"/>
        <w:kinsoku/>
        <w:wordWrap/>
        <w:overflowPunct/>
        <w:topLinePunct w:val="0"/>
        <w:bidi w:val="0"/>
        <w:spacing w:line="380" w:lineRule="exact"/>
        <w:ind w:left="0" w:leftChars="0"/>
        <w:textAlignment w:val="auto"/>
        <w:outlineLvl w:val="1"/>
        <w:rPr>
          <w:rFonts w:hint="eastAsia" w:ascii="宋体" w:hAnsi="宋体" w:eastAsia="宋体" w:cs="宋体"/>
          <w:b/>
          <w:bCs w:val="0"/>
          <w:color w:val="auto"/>
          <w:sz w:val="21"/>
          <w:szCs w:val="21"/>
          <w:highlight w:val="none"/>
        </w:rPr>
      </w:pPr>
      <w:bookmarkStart w:id="600" w:name="_Toc45"/>
      <w:bookmarkStart w:id="601" w:name="_Toc351203648"/>
      <w:bookmarkStart w:id="602" w:name="_Toc18348"/>
      <w:bookmarkStart w:id="603" w:name="_Toc280868717"/>
      <w:bookmarkStart w:id="604" w:name="_Toc280868718"/>
      <w:r>
        <w:rPr>
          <w:rFonts w:hint="eastAsia" w:ascii="宋体" w:hAnsi="宋体" w:eastAsia="宋体" w:cs="宋体"/>
          <w:b/>
          <w:bCs w:val="0"/>
          <w:color w:val="auto"/>
          <w:sz w:val="21"/>
          <w:szCs w:val="21"/>
          <w:highlight w:val="none"/>
        </w:rPr>
        <w:t>16. 违约</w:t>
      </w:r>
      <w:bookmarkEnd w:id="600"/>
      <w:bookmarkEnd w:id="601"/>
      <w:bookmarkEnd w:id="602"/>
    </w:p>
    <w:p w14:paraId="68576A7A">
      <w:pPr>
        <w:pageBreakBefore w:val="0"/>
        <w:widowControl w:val="0"/>
        <w:kinsoku/>
        <w:wordWrap/>
        <w:overflowPunct/>
        <w:topLinePunct w:val="0"/>
        <w:bidi w:val="0"/>
        <w:spacing w:line="380" w:lineRule="exact"/>
        <w:ind w:left="0" w:leftChars="0" w:firstLine="420" w:firstLineChars="200"/>
        <w:textAlignment w:val="auto"/>
        <w:outlineLvl w:val="0"/>
        <w:rPr>
          <w:rFonts w:hint="eastAsia" w:ascii="宋体" w:hAnsi="宋体" w:eastAsia="宋体" w:cs="宋体"/>
          <w:color w:val="auto"/>
          <w:sz w:val="21"/>
          <w:szCs w:val="21"/>
          <w:highlight w:val="none"/>
        </w:rPr>
      </w:pPr>
      <w:bookmarkStart w:id="605" w:name="_Toc12762"/>
      <w:bookmarkStart w:id="606" w:name="_Toc27749"/>
      <w:r>
        <w:rPr>
          <w:rFonts w:hint="eastAsia" w:ascii="宋体" w:hAnsi="宋体" w:eastAsia="宋体" w:cs="宋体"/>
          <w:color w:val="auto"/>
          <w:sz w:val="21"/>
          <w:szCs w:val="21"/>
          <w:highlight w:val="none"/>
        </w:rPr>
        <w:t>16.1 发包人违约</w:t>
      </w:r>
      <w:bookmarkEnd w:id="605"/>
      <w:bookmarkEnd w:id="606"/>
    </w:p>
    <w:p w14:paraId="6D9FE806">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16.1.1发包人违约的情形</w:t>
      </w:r>
    </w:p>
    <w:p w14:paraId="4F3CEA25">
      <w:pPr>
        <w:pageBreakBefore w:val="0"/>
        <w:widowControl w:val="0"/>
        <w:kinsoku/>
        <w:wordWrap/>
        <w:overflowPunct/>
        <w:topLinePunct w:val="0"/>
        <w:bidi w:val="0"/>
        <w:spacing w:line="380" w:lineRule="exact"/>
        <w:ind w:left="1050" w:leftChars="0" w:hanging="1050" w:hangingChars="5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发包人违约的其他情形：</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470FD826">
      <w:pPr>
        <w:pageBreakBefore w:val="0"/>
        <w:widowControl w:val="0"/>
        <w:kinsoku/>
        <w:wordWrap/>
        <w:overflowPunct/>
        <w:topLinePunct w:val="0"/>
        <w:bidi w:val="0"/>
        <w:spacing w:line="380" w:lineRule="exact"/>
        <w:ind w:left="1050" w:leftChars="0" w:hanging="1050" w:hangingChars="5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16.1.2 发包人违约的责任</w:t>
      </w:r>
    </w:p>
    <w:p w14:paraId="77585381">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发包人违约责任的承担方式和计算方法：</w:t>
      </w:r>
    </w:p>
    <w:p w14:paraId="121CEB67">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（1）因发包人原因未能在计划开工日期前7天内下达开工通知的违约责任：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u w:val="single"/>
        </w:rPr>
        <w:t xml:space="preserve">工期顺延但不补偿费用  </w:t>
      </w:r>
      <w:r>
        <w:rPr>
          <w:rFonts w:hint="eastAsia" w:ascii="宋体" w:hAnsi="宋体" w:eastAsia="宋体" w:cs="宋体"/>
          <w:color w:val="auto"/>
          <w:sz w:val="21"/>
          <w:szCs w:val="21"/>
          <w:highlight w:val="none"/>
        </w:rPr>
        <w:t>。</w:t>
      </w:r>
    </w:p>
    <w:p w14:paraId="2425A874">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（2）因发包人原因未能按合同约定支付合同价款的违约责任：</w:t>
      </w:r>
      <w:r>
        <w:rPr>
          <w:rFonts w:hint="eastAsia" w:ascii="宋体" w:hAnsi="宋体" w:eastAsia="宋体" w:cs="宋体"/>
          <w:color w:val="auto"/>
          <w:sz w:val="21"/>
          <w:szCs w:val="21"/>
          <w:highlight w:val="none"/>
          <w:u w:val="single"/>
        </w:rPr>
        <w:t>发生时双方另行商定，但不</w:t>
      </w:r>
      <w:r>
        <w:rPr>
          <w:rFonts w:hint="eastAsia" w:ascii="宋体" w:hAnsi="宋体" w:eastAsia="宋体" w:cs="宋体"/>
          <w:color w:val="auto"/>
          <w:sz w:val="21"/>
          <w:szCs w:val="21"/>
          <w:highlight w:val="none"/>
          <w:u w:val="single"/>
          <w:lang w:eastAsia="zh-CN"/>
        </w:rPr>
        <w:t>计</w:t>
      </w:r>
      <w:r>
        <w:rPr>
          <w:rFonts w:hint="eastAsia" w:ascii="宋体" w:hAnsi="宋体" w:eastAsia="宋体" w:cs="宋体"/>
          <w:color w:val="auto"/>
          <w:sz w:val="21"/>
          <w:szCs w:val="21"/>
          <w:highlight w:val="none"/>
          <w:u w:val="single"/>
        </w:rPr>
        <w:t xml:space="preserve">取延期利息    </w:t>
      </w:r>
      <w:r>
        <w:rPr>
          <w:rFonts w:hint="eastAsia" w:ascii="宋体" w:hAnsi="宋体" w:eastAsia="宋体" w:cs="宋体"/>
          <w:color w:val="auto"/>
          <w:sz w:val="21"/>
          <w:szCs w:val="21"/>
          <w:highlight w:val="none"/>
        </w:rPr>
        <w:t>。</w:t>
      </w:r>
    </w:p>
    <w:p w14:paraId="1BC0B691">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发包人不承担违约责任，承包人在投标时已慎重考虑可能发生的风险，已包含在发包价内 </w:t>
      </w:r>
      <w:r>
        <w:rPr>
          <w:rFonts w:hint="eastAsia" w:ascii="宋体" w:hAnsi="宋体" w:eastAsia="宋体" w:cs="宋体"/>
          <w:color w:val="auto"/>
          <w:sz w:val="21"/>
          <w:szCs w:val="21"/>
          <w:highlight w:val="none"/>
        </w:rPr>
        <w:t>。</w:t>
      </w:r>
    </w:p>
    <w:p w14:paraId="0C73DF4B">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0AF317C2">
      <w:pPr>
        <w:pageBreakBefore w:val="0"/>
        <w:widowControl w:val="0"/>
        <w:kinsoku/>
        <w:wordWrap/>
        <w:overflowPunct/>
        <w:topLinePunct w:val="0"/>
        <w:bidi w:val="0"/>
        <w:spacing w:line="380" w:lineRule="exact"/>
        <w:ind w:left="0" w:leftChars="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（5）因发包人违反合同约定造成暂停施工的违约责任：</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0D073957">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（6）发包人无正当理由没有在约定期限内发出复工指示，导致承包人无法复工的违约责任：</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6080AB55">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（7）其他：</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1464607B">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16.1.3 因发包人违约解除合同</w:t>
      </w:r>
    </w:p>
    <w:p w14:paraId="6C296B37">
      <w:pPr>
        <w:pageBreakBefore w:val="0"/>
        <w:widowControl w:val="0"/>
        <w:kinsoku/>
        <w:wordWrap/>
        <w:overflowPunct/>
        <w:topLinePunct w:val="0"/>
        <w:autoSpaceDE w:val="0"/>
        <w:autoSpaceDN w:val="0"/>
        <w:bidi w:val="0"/>
        <w:adjustRightInd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承包人按16.1.1项〔发包人违约的情形〕约定暂停施工满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u w:val="single"/>
        </w:rPr>
        <w:t>180</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天后发包人仍不纠正其违约行为并致使合同目的不能实现的，承包人有权解除合同。</w:t>
      </w:r>
    </w:p>
    <w:p w14:paraId="301FA53C">
      <w:pPr>
        <w:pageBreakBefore w:val="0"/>
        <w:widowControl w:val="0"/>
        <w:kinsoku/>
        <w:wordWrap/>
        <w:overflowPunct/>
        <w:topLinePunct w:val="0"/>
        <w:bidi w:val="0"/>
        <w:spacing w:line="380" w:lineRule="exact"/>
        <w:ind w:left="0" w:leftChars="0" w:firstLine="420" w:firstLineChars="200"/>
        <w:textAlignment w:val="auto"/>
        <w:outlineLvl w:val="0"/>
        <w:rPr>
          <w:rFonts w:hint="eastAsia" w:ascii="宋体" w:hAnsi="宋体" w:eastAsia="宋体" w:cs="宋体"/>
          <w:color w:val="auto"/>
          <w:sz w:val="21"/>
          <w:szCs w:val="21"/>
          <w:highlight w:val="none"/>
        </w:rPr>
      </w:pPr>
      <w:bookmarkStart w:id="607" w:name="_Toc10753"/>
      <w:bookmarkStart w:id="608" w:name="_Toc24530"/>
      <w:r>
        <w:rPr>
          <w:rFonts w:hint="eastAsia" w:ascii="宋体" w:hAnsi="宋体" w:eastAsia="宋体" w:cs="宋体"/>
          <w:color w:val="auto"/>
          <w:sz w:val="21"/>
          <w:szCs w:val="21"/>
          <w:highlight w:val="none"/>
        </w:rPr>
        <w:t>16.2 承包人违约</w:t>
      </w:r>
      <w:bookmarkEnd w:id="607"/>
      <w:bookmarkEnd w:id="608"/>
    </w:p>
    <w:p w14:paraId="61C13D18">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16.2.1 承包人违约的情形</w:t>
      </w:r>
    </w:p>
    <w:p w14:paraId="779213D4">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承包人违约的其他情形：</w:t>
      </w:r>
      <w:r>
        <w:rPr>
          <w:rFonts w:hint="eastAsia" w:ascii="宋体" w:hAnsi="宋体" w:eastAsia="宋体" w:cs="宋体"/>
          <w:color w:val="auto"/>
          <w:sz w:val="21"/>
          <w:szCs w:val="21"/>
          <w:highlight w:val="none"/>
        </w:rPr>
        <w:t xml:space="preserve"> </w:t>
      </w:r>
    </w:p>
    <w:p w14:paraId="24421494">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p>
    <w:p w14:paraId="101A1035">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（2）因承包人原因被责令停工和返工的，除无条件及时整改外，承包人须向发包人支付违约金不低于20000元/次 。</w:t>
      </w:r>
    </w:p>
    <w:p w14:paraId="7E2417A2">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（3）因承包人提供的竣工资料原因影响工程正常竣工验收的，每延迟一天，承包人应向发包人支付1000元的违约金 。</w:t>
      </w:r>
    </w:p>
    <w:p w14:paraId="39FFB4D8">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（4）施工期间因承包人原因发生质量和安全事故，承包人除承担责任外，还必须承担事故处理的一切费用、工程的恢复费用及因此造</w:t>
      </w:r>
      <w:r>
        <w:rPr>
          <w:rFonts w:hint="eastAsia" w:ascii="宋体" w:hAnsi="宋体" w:eastAsia="宋体" w:cs="宋体"/>
          <w:color w:val="auto"/>
          <w:sz w:val="21"/>
          <w:szCs w:val="21"/>
          <w:highlight w:val="none"/>
          <w:u w:val="single"/>
          <w:lang w:eastAsia="zh-CN"/>
        </w:rPr>
        <w:t>成的</w:t>
      </w:r>
      <w:r>
        <w:rPr>
          <w:rFonts w:hint="eastAsia" w:ascii="宋体" w:hAnsi="宋体" w:eastAsia="宋体" w:cs="宋体"/>
          <w:color w:val="auto"/>
          <w:sz w:val="21"/>
          <w:szCs w:val="21"/>
          <w:highlight w:val="none"/>
          <w:u w:val="single"/>
        </w:rPr>
        <w:t>后续工程延期费用，并承担由此给发包人所造成的经济损失 。</w:t>
      </w:r>
    </w:p>
    <w:p w14:paraId="1A607275">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p>
    <w:p w14:paraId="0B49D789">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  </w:t>
      </w:r>
    </w:p>
    <w:p w14:paraId="2F44179C">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（7）被有关部门检查通报批评的，除立即无条件整改外，承包人须向发包人支付违约金不低于10000元/次    </w:t>
      </w:r>
      <w:r>
        <w:rPr>
          <w:rFonts w:hint="eastAsia" w:ascii="宋体" w:hAnsi="宋体" w:eastAsia="宋体" w:cs="宋体"/>
          <w:color w:val="auto"/>
          <w:sz w:val="21"/>
          <w:szCs w:val="21"/>
          <w:highlight w:val="none"/>
        </w:rPr>
        <w:t>。</w:t>
      </w:r>
    </w:p>
    <w:p w14:paraId="015719D9">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（8）未按约定预存农民工工资资金、未按时足额发放农民工工资的；</w:t>
      </w:r>
    </w:p>
    <w:p w14:paraId="62E6E01E">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（9）未使用农民工权益保障卡发放工资、扣押员工证件的；</w:t>
      </w:r>
    </w:p>
    <w:p w14:paraId="0F2EA398">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（10）未落实实名制管理、专用账户管理等四项制度，或提供虚假工资支付台账的；</w:t>
      </w:r>
    </w:p>
    <w:p w14:paraId="45C659B8">
      <w:pPr>
        <w:pageBreakBefore w:val="0"/>
        <w:widowControl w:val="0"/>
        <w:kinsoku/>
        <w:wordWrap/>
        <w:overflowPunct/>
        <w:topLinePunct w:val="0"/>
        <w:bidi w:val="0"/>
        <w:spacing w:line="380" w:lineRule="exact"/>
        <w:ind w:left="0" w:leftChars="0" w:firstLine="420" w:firstLineChars="200"/>
        <w:jc w:val="left"/>
        <w:textAlignment w:val="auto"/>
        <w:rPr>
          <w:rFonts w:hint="eastAsia"/>
          <w:color w:val="auto"/>
          <w:highlight w:val="none"/>
        </w:rPr>
      </w:pPr>
      <w:r>
        <w:rPr>
          <w:rFonts w:hint="eastAsia" w:ascii="宋体" w:hAnsi="宋体" w:eastAsia="宋体" w:cs="宋体"/>
          <w:color w:val="auto"/>
          <w:sz w:val="21"/>
          <w:szCs w:val="21"/>
          <w:highlight w:val="none"/>
          <w:u w:val="single"/>
        </w:rPr>
        <w:t>针对上述第（8）</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（10）项违约情形，发包人有权责令停工整改，承包人须在 5 日内结清拖欠工资，并按拖欠金额的 2 倍向农民工支付赔偿金；逾期未整改的，发包人有权解除合同，没收履约保证金，同时承包人应承担合同总价 10% 的违约金，造成的损失超出违约金的部分仍需赔偿。</w:t>
      </w:r>
    </w:p>
    <w:p w14:paraId="766EFE33">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16.2.2承包人违约的责任</w:t>
      </w:r>
    </w:p>
    <w:p w14:paraId="7503F0F1">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承包人违约责任的承担方式和计算方法：</w:t>
      </w:r>
    </w:p>
    <w:p w14:paraId="1A3B72E0">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rPr>
          <w:rFonts w:hint="eastAsia" w:ascii="宋体" w:hAnsi="宋体" w:eastAsia="宋体" w:cs="宋体"/>
          <w:color w:val="auto"/>
          <w:sz w:val="21"/>
          <w:szCs w:val="21"/>
          <w:highlight w:val="none"/>
          <w:u w:val="single"/>
          <w:lang w:eastAsia="zh-CN"/>
        </w:rPr>
        <w:t>。</w:t>
      </w:r>
    </w:p>
    <w:p w14:paraId="5DE22047">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w:t>
      </w:r>
      <w:r>
        <w:rPr>
          <w:rFonts w:hint="eastAsia" w:ascii="宋体" w:hAnsi="宋体" w:eastAsia="宋体" w:cs="宋体"/>
          <w:color w:val="auto"/>
          <w:sz w:val="21"/>
          <w:szCs w:val="21"/>
          <w:highlight w:val="none"/>
          <w:u w:val="single"/>
          <w:lang w:eastAsia="zh-CN"/>
        </w:rPr>
        <w:t>经</w:t>
      </w:r>
      <w:r>
        <w:rPr>
          <w:rFonts w:hint="eastAsia" w:ascii="宋体" w:hAnsi="宋体" w:eastAsia="宋体" w:cs="宋体"/>
          <w:color w:val="auto"/>
          <w:sz w:val="21"/>
          <w:szCs w:val="21"/>
          <w:highlight w:val="none"/>
          <w:u w:val="single"/>
        </w:rPr>
        <w:t>发包人和监理工程师共同签证核对即自行采购材料和工程设备，后再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p>
    <w:p w14:paraId="2E9B9929">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（3）因承包人原因导致工程质量不符合合同要求的：凡经验收工程质量不符合合同要求的，承包人必须自费返工，由此而造</w:t>
      </w:r>
      <w:r>
        <w:rPr>
          <w:rFonts w:hint="eastAsia" w:ascii="宋体" w:hAnsi="宋体" w:eastAsia="宋体" w:cs="宋体"/>
          <w:color w:val="auto"/>
          <w:sz w:val="21"/>
          <w:szCs w:val="21"/>
          <w:highlight w:val="none"/>
          <w:u w:val="single"/>
          <w:lang w:eastAsia="zh-CN"/>
        </w:rPr>
        <w:t>成的</w:t>
      </w:r>
      <w:r>
        <w:rPr>
          <w:rFonts w:hint="eastAsia" w:ascii="宋体" w:hAnsi="宋体" w:eastAsia="宋体" w:cs="宋体"/>
          <w:color w:val="auto"/>
          <w:sz w:val="21"/>
          <w:szCs w:val="21"/>
          <w:highlight w:val="none"/>
          <w:u w:val="single"/>
        </w:rPr>
        <w:t>一切经济损失由承包人承担，需要鉴定的部分由承包人承担鉴定费用，因返工而造成工期延误的要执行工期违约处罚条款。工程二次验收工程质量仍不符合合同要求的，发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w:t>
      </w:r>
      <w:r>
        <w:rPr>
          <w:rFonts w:hint="eastAsia" w:ascii="宋体" w:hAnsi="宋体" w:cs="宋体"/>
          <w:color w:val="auto"/>
          <w:sz w:val="21"/>
          <w:szCs w:val="21"/>
          <w:highlight w:val="none"/>
          <w:u w:val="single"/>
          <w:lang w:eastAsia="zh-CN"/>
        </w:rPr>
        <w:t>1</w:t>
      </w:r>
      <w:r>
        <w:rPr>
          <w:rFonts w:hint="eastAsia" w:ascii="宋体" w:hAnsi="宋体" w:cs="宋体"/>
          <w:color w:val="auto"/>
          <w:sz w:val="21"/>
          <w:szCs w:val="21"/>
          <w:highlight w:val="none"/>
          <w:u w:val="single"/>
          <w:lang w:val="en-US" w:eastAsia="zh-CN"/>
        </w:rPr>
        <w:t>0</w:t>
      </w:r>
      <w:r>
        <w:rPr>
          <w:rFonts w:hint="eastAsia" w:ascii="宋体" w:hAnsi="宋体" w:cs="宋体"/>
          <w:color w:val="auto"/>
          <w:sz w:val="21"/>
          <w:szCs w:val="21"/>
          <w:highlight w:val="none"/>
          <w:u w:val="single"/>
          <w:lang w:eastAsia="zh-CN"/>
        </w:rPr>
        <w:t>万元</w:t>
      </w:r>
      <w:r>
        <w:rPr>
          <w:rFonts w:hint="eastAsia" w:ascii="宋体" w:hAnsi="宋体" w:eastAsia="宋体" w:cs="宋体"/>
          <w:color w:val="auto"/>
          <w:sz w:val="21"/>
          <w:szCs w:val="21"/>
          <w:highlight w:val="none"/>
          <w:u w:val="single"/>
        </w:rPr>
        <w:t>的违约金，同时承包人还应赔偿给发包人造成的全部经济损失，且发包人有权延期支付工程款 。</w:t>
      </w:r>
    </w:p>
    <w:p w14:paraId="4B1301BA">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（4）承包人违反第8.9款〔材料与设备专用要求〕的约定，未经批准，私自将已按照合同约定进入施工现场的材料或设备撤离施工现场的：承包人向发包人支付违约金不少于10000元/次 。</w:t>
      </w:r>
    </w:p>
    <w:p w14:paraId="23FCA598">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（5）承包人未能按施工进度计划及时完成合同约定的工作，造成工期延误的：按专用合同条款第7.5.2项执行 ，同时承包人还应赔偿给发包人造成的全部经济损失。</w:t>
      </w:r>
    </w:p>
    <w:p w14:paraId="585DC745">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（6）承包人在缺陷责任期及保修期内，未能在合理期</w:t>
      </w:r>
      <w:r>
        <w:rPr>
          <w:rFonts w:hint="eastAsia" w:ascii="宋体" w:hAnsi="宋体" w:cs="宋体"/>
          <w:color w:val="auto"/>
          <w:sz w:val="21"/>
          <w:szCs w:val="21"/>
          <w:highlight w:val="none"/>
          <w:u w:val="single"/>
          <w:lang w:eastAsia="zh-CN"/>
        </w:rPr>
        <w:t>限内</w:t>
      </w:r>
      <w:r>
        <w:rPr>
          <w:rFonts w:hint="eastAsia" w:ascii="宋体" w:hAnsi="宋体" w:eastAsia="宋体" w:cs="宋体"/>
          <w:color w:val="auto"/>
          <w:sz w:val="21"/>
          <w:szCs w:val="21"/>
          <w:highlight w:val="none"/>
          <w:u w:val="single"/>
        </w:rPr>
        <w:t>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p>
    <w:p w14:paraId="50BD4AE8">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7）承包人明确表示或者以其行为表明不履行合同主要义务的：属于承包人单方违约行为，发包人有权单方解除合同，并将承包人清退出场，履约保证金不予返还，且承包人还须向发包人支付违约金不少于20000元，同时承包人还应赔偿由此给发包人和相关第三方造成的全部经济损失 ，由此更换承包人造成的一切损失也由承包人承担，在发包人更换其他单位进场施工之前，发包人有权对承包人索赔每天不少于人民币5仟元的违约金。</w:t>
      </w:r>
    </w:p>
    <w:p w14:paraId="2E62759C">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w:t>
      </w:r>
      <w:r>
        <w:rPr>
          <w:rFonts w:hint="eastAsia" w:ascii="宋体" w:hAnsi="宋体" w:eastAsia="宋体" w:cs="宋体"/>
          <w:color w:val="auto"/>
          <w:sz w:val="21"/>
          <w:szCs w:val="21"/>
          <w:highlight w:val="none"/>
          <w:u w:val="single"/>
          <w:lang w:eastAsia="zh-CN"/>
        </w:rPr>
        <w:t>其他</w:t>
      </w:r>
      <w:r>
        <w:rPr>
          <w:rFonts w:hint="eastAsia" w:ascii="宋体" w:hAnsi="宋体" w:eastAsia="宋体" w:cs="宋体"/>
          <w:color w:val="auto"/>
          <w:sz w:val="21"/>
          <w:szCs w:val="21"/>
          <w:highlight w:val="none"/>
          <w:u w:val="single"/>
        </w:rPr>
        <w:t>违约处罚条款继续有效。</w:t>
      </w:r>
    </w:p>
    <w:p w14:paraId="0F3BBF5A">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（9）如发现承包人有以下行为勒令整改并加以处罚，发包人有权对承包人每次索赔不少于人民币5仟元的违约金；整改无效</w:t>
      </w:r>
      <w:r>
        <w:rPr>
          <w:rFonts w:hint="eastAsia" w:ascii="宋体" w:hAnsi="宋体" w:eastAsia="宋体" w:cs="宋体"/>
          <w:color w:val="auto"/>
          <w:sz w:val="21"/>
          <w:szCs w:val="21"/>
          <w:highlight w:val="none"/>
          <w:u w:val="single"/>
          <w:lang w:eastAsia="zh-CN"/>
        </w:rPr>
        <w:t>视为</w:t>
      </w:r>
      <w:r>
        <w:rPr>
          <w:rFonts w:hint="eastAsia" w:ascii="宋体" w:hAnsi="宋体" w:eastAsia="宋体" w:cs="宋体"/>
          <w:color w:val="auto"/>
          <w:sz w:val="21"/>
          <w:szCs w:val="21"/>
          <w:highlight w:val="none"/>
          <w:u w:val="single"/>
        </w:rPr>
        <w:t>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w:t>
      </w:r>
      <w:r>
        <w:rPr>
          <w:rFonts w:hint="eastAsia" w:ascii="宋体" w:hAnsi="宋体" w:cs="宋体"/>
          <w:color w:val="auto"/>
          <w:sz w:val="21"/>
          <w:szCs w:val="21"/>
          <w:highlight w:val="none"/>
          <w:u w:val="single"/>
          <w:lang w:eastAsia="zh-CN"/>
        </w:rPr>
        <w:t>响应文件</w:t>
      </w:r>
      <w:r>
        <w:rPr>
          <w:rFonts w:hint="eastAsia" w:ascii="宋体" w:hAnsi="宋体" w:eastAsia="宋体" w:cs="宋体"/>
          <w:color w:val="auto"/>
          <w:sz w:val="21"/>
          <w:szCs w:val="21"/>
          <w:highlight w:val="none"/>
          <w:u w:val="single"/>
        </w:rPr>
        <w:t>有较大差距；②在建设、安全、卫生系统行业检查中未达标；③不服从监理单位管理；④如发包人或监理单位发现承包人组织的人力、物力不足以按时完成工程进度，影响总工期，在催促通知书下发后，仍无反映的；⑤</w:t>
      </w:r>
      <w:r>
        <w:rPr>
          <w:rFonts w:hint="eastAsia" w:ascii="宋体" w:hAnsi="宋体" w:eastAsia="宋体" w:cs="宋体"/>
          <w:color w:val="auto"/>
          <w:sz w:val="21"/>
          <w:szCs w:val="21"/>
          <w:highlight w:val="none"/>
          <w:u w:val="single"/>
          <w:lang w:eastAsia="zh-CN"/>
        </w:rPr>
        <w:t>其他类似</w:t>
      </w:r>
      <w:r>
        <w:rPr>
          <w:rFonts w:hint="eastAsia" w:ascii="宋体" w:hAnsi="宋体" w:eastAsia="宋体" w:cs="宋体"/>
          <w:color w:val="auto"/>
          <w:sz w:val="21"/>
          <w:szCs w:val="21"/>
          <w:highlight w:val="none"/>
          <w:u w:val="single"/>
        </w:rPr>
        <w:t>情况。</w:t>
      </w:r>
    </w:p>
    <w:p w14:paraId="422549EB">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p>
    <w:p w14:paraId="2261AD04">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（11）在施工过</w:t>
      </w:r>
      <w:r>
        <w:rPr>
          <w:rFonts w:hint="eastAsia" w:ascii="宋体" w:hAnsi="宋体" w:cs="宋体"/>
          <w:color w:val="auto"/>
          <w:sz w:val="21"/>
          <w:szCs w:val="21"/>
          <w:highlight w:val="none"/>
          <w:u w:val="single"/>
          <w:lang w:eastAsia="zh-CN"/>
        </w:rPr>
        <w:t>程中</w:t>
      </w:r>
      <w:r>
        <w:rPr>
          <w:rFonts w:hint="eastAsia" w:ascii="宋体" w:hAnsi="宋体" w:eastAsia="宋体" w:cs="宋体"/>
          <w:color w:val="auto"/>
          <w:sz w:val="21"/>
          <w:szCs w:val="21"/>
          <w:highlight w:val="none"/>
          <w:u w:val="single"/>
        </w:rPr>
        <w:t>、工程移交中以及质量保修期内，由于承包人原因出现的质量问题、安全事故或</w:t>
      </w:r>
      <w:r>
        <w:rPr>
          <w:rFonts w:hint="eastAsia" w:ascii="宋体" w:hAnsi="宋体" w:eastAsia="宋体" w:cs="宋体"/>
          <w:color w:val="auto"/>
          <w:sz w:val="21"/>
          <w:szCs w:val="21"/>
          <w:highlight w:val="none"/>
          <w:u w:val="single"/>
          <w:lang w:eastAsia="zh-CN"/>
        </w:rPr>
        <w:t>其他</w:t>
      </w:r>
      <w:r>
        <w:rPr>
          <w:rFonts w:hint="eastAsia" w:ascii="宋体" w:hAnsi="宋体" w:eastAsia="宋体" w:cs="宋体"/>
          <w:color w:val="auto"/>
          <w:sz w:val="21"/>
          <w:szCs w:val="21"/>
          <w:highlight w:val="none"/>
          <w:u w:val="single"/>
        </w:rPr>
        <w:t>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p>
    <w:p w14:paraId="2C3CFDF5">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（12）工程竣工验收合格后7日内，承包人应将工程交付发包人，每延迟一天承包人交纳合同总价千分之一违约金，延期超过15天的</w:t>
      </w:r>
      <w:r>
        <w:rPr>
          <w:rFonts w:hint="eastAsia" w:ascii="宋体" w:hAnsi="宋体" w:cs="宋体"/>
          <w:color w:val="auto"/>
          <w:sz w:val="21"/>
          <w:szCs w:val="21"/>
          <w:highlight w:val="none"/>
          <w:u w:val="single"/>
          <w:lang w:eastAsia="zh-CN"/>
        </w:rPr>
        <w:t>视为</w:t>
      </w:r>
      <w:r>
        <w:rPr>
          <w:rFonts w:hint="eastAsia" w:ascii="宋体" w:hAnsi="宋体" w:eastAsia="宋体" w:cs="宋体"/>
          <w:color w:val="auto"/>
          <w:sz w:val="21"/>
          <w:szCs w:val="21"/>
          <w:highlight w:val="none"/>
          <w:u w:val="single"/>
        </w:rPr>
        <w:t>承包人违约，发包人有权单方解除合同，自行接收工程。</w:t>
      </w:r>
    </w:p>
    <w:p w14:paraId="4E8A6B49">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（13）承包人在</w:t>
      </w:r>
      <w:r>
        <w:rPr>
          <w:rFonts w:hint="eastAsia" w:ascii="宋体" w:hAnsi="宋体" w:cs="宋体"/>
          <w:color w:val="auto"/>
          <w:sz w:val="21"/>
          <w:szCs w:val="21"/>
          <w:highlight w:val="none"/>
          <w:u w:val="single"/>
          <w:lang w:eastAsia="zh-CN"/>
        </w:rPr>
        <w:t>响应文件</w:t>
      </w:r>
      <w:r>
        <w:rPr>
          <w:rFonts w:hint="eastAsia" w:ascii="宋体" w:hAnsi="宋体" w:eastAsia="宋体" w:cs="宋体"/>
          <w:color w:val="auto"/>
          <w:sz w:val="21"/>
          <w:szCs w:val="21"/>
          <w:highlight w:val="none"/>
          <w:u w:val="single"/>
        </w:rPr>
        <w:t>中所列及的所有事项，都</w:t>
      </w:r>
      <w:r>
        <w:rPr>
          <w:rFonts w:hint="eastAsia" w:ascii="宋体" w:hAnsi="宋体" w:cs="宋体"/>
          <w:color w:val="auto"/>
          <w:sz w:val="21"/>
          <w:szCs w:val="21"/>
          <w:highlight w:val="none"/>
          <w:u w:val="single"/>
          <w:lang w:eastAsia="zh-CN"/>
        </w:rPr>
        <w:t>视为</w:t>
      </w:r>
      <w:r>
        <w:rPr>
          <w:rFonts w:hint="eastAsia" w:ascii="宋体" w:hAnsi="宋体" w:eastAsia="宋体" w:cs="宋体"/>
          <w:color w:val="auto"/>
          <w:sz w:val="21"/>
          <w:szCs w:val="21"/>
          <w:highlight w:val="none"/>
          <w:u w:val="single"/>
        </w:rPr>
        <w:t>对发包人及本工程的承诺，施工过程中若发现未经发包人同意而实际操作与</w:t>
      </w:r>
      <w:r>
        <w:rPr>
          <w:rFonts w:hint="eastAsia" w:ascii="宋体" w:hAnsi="宋体" w:cs="宋体"/>
          <w:color w:val="auto"/>
          <w:sz w:val="21"/>
          <w:szCs w:val="21"/>
          <w:highlight w:val="none"/>
          <w:u w:val="single"/>
          <w:lang w:eastAsia="zh-CN"/>
        </w:rPr>
        <w:t>响应文件</w:t>
      </w:r>
      <w:r>
        <w:rPr>
          <w:rFonts w:hint="eastAsia" w:ascii="宋体" w:hAnsi="宋体" w:eastAsia="宋体" w:cs="宋体"/>
          <w:color w:val="auto"/>
          <w:sz w:val="21"/>
          <w:szCs w:val="21"/>
          <w:highlight w:val="none"/>
          <w:u w:val="single"/>
        </w:rPr>
        <w:t>不一致的情况，发包人将视情况给予违约处理。</w:t>
      </w:r>
    </w:p>
    <w:p w14:paraId="2D6A1886">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承包人进场施工，由此更换承包人造成的一切损失也由承包人承担，在发包人更换其他单位进场施工之前，发包人有权对承包人索赔每天不少于人民币5仟元的违约金。</w:t>
      </w:r>
    </w:p>
    <w:p w14:paraId="0A9078E9">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（15）在履行合同过程中，因承包人违约必须用现金向发包人交纳违约金，如承包人不及时</w:t>
      </w:r>
      <w:r>
        <w:rPr>
          <w:rFonts w:hint="eastAsia" w:ascii="宋体" w:hAnsi="宋体" w:eastAsia="宋体" w:cs="宋体"/>
          <w:color w:val="auto"/>
          <w:sz w:val="21"/>
          <w:szCs w:val="21"/>
          <w:highlight w:val="none"/>
          <w:u w:val="single"/>
          <w:lang w:eastAsia="zh-CN"/>
        </w:rPr>
        <w:t>缴纳</w:t>
      </w:r>
      <w:r>
        <w:rPr>
          <w:rFonts w:hint="eastAsia" w:ascii="宋体" w:hAnsi="宋体" w:eastAsia="宋体" w:cs="宋体"/>
          <w:color w:val="auto"/>
          <w:sz w:val="21"/>
          <w:szCs w:val="21"/>
          <w:highlight w:val="none"/>
          <w:u w:val="single"/>
        </w:rPr>
        <w:t>违约金，责任由承包人承担，发包人有权拒付工程款，或从当期工程款或履约保证金中双倍扣回。</w:t>
      </w:r>
    </w:p>
    <w:p w14:paraId="1A007DAA">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（16）承包人未能按照合同约定履行其他义务的：视为承包人违约，届时根据具体情况，予以处理及处罚    </w:t>
      </w:r>
      <w:r>
        <w:rPr>
          <w:rFonts w:hint="eastAsia" w:ascii="宋体" w:hAnsi="宋体" w:eastAsia="宋体" w:cs="宋体"/>
          <w:color w:val="auto"/>
          <w:sz w:val="21"/>
          <w:szCs w:val="21"/>
          <w:highlight w:val="none"/>
        </w:rPr>
        <w:t>。</w:t>
      </w:r>
    </w:p>
    <w:p w14:paraId="639B422D">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16.2.3 因承包人违约解除合同</w:t>
      </w:r>
    </w:p>
    <w:p w14:paraId="75993AEB">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关于承包人违约解除合同的特别约定：</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因承包人违约，发包人解除合同的，尚未支付的工程款不再支付，履约保证金和中标差额担保（如有）不再返还，承包人应再向发包人支付违约金</w:t>
      </w:r>
      <w:r>
        <w:rPr>
          <w:rFonts w:hint="eastAsia" w:ascii="宋体" w:hAnsi="宋体" w:cs="宋体"/>
          <w:color w:val="auto"/>
          <w:sz w:val="21"/>
          <w:szCs w:val="21"/>
          <w:highlight w:val="none"/>
          <w:u w:val="single"/>
          <w:lang w:val="en-US" w:eastAsia="zh-CN"/>
        </w:rPr>
        <w:t>10万元</w:t>
      </w:r>
      <w:r>
        <w:rPr>
          <w:rFonts w:hint="eastAsia" w:ascii="宋体" w:hAnsi="宋体" w:eastAsia="宋体" w:cs="宋体"/>
          <w:color w:val="auto"/>
          <w:sz w:val="21"/>
          <w:szCs w:val="21"/>
          <w:highlight w:val="none"/>
          <w:u w:val="single"/>
        </w:rPr>
        <w:t>，违约金不足以赔偿因此而给发包人和相关第三方造成的全部经济损失，需</w:t>
      </w:r>
      <w:r>
        <w:rPr>
          <w:rFonts w:hint="eastAsia" w:ascii="宋体" w:hAnsi="宋体" w:eastAsia="宋体" w:cs="宋体"/>
          <w:color w:val="auto"/>
          <w:sz w:val="21"/>
          <w:szCs w:val="21"/>
          <w:highlight w:val="none"/>
          <w:u w:val="single"/>
          <w:lang w:eastAsia="zh-CN"/>
        </w:rPr>
        <w:t>赔偿</w:t>
      </w:r>
      <w:r>
        <w:rPr>
          <w:rFonts w:hint="eastAsia" w:ascii="宋体" w:hAnsi="宋体" w:eastAsia="宋体" w:cs="宋体"/>
          <w:color w:val="auto"/>
          <w:sz w:val="21"/>
          <w:szCs w:val="21"/>
          <w:highlight w:val="none"/>
          <w:u w:val="single"/>
        </w:rPr>
        <w:t>实际损失</w:t>
      </w:r>
      <w:r>
        <w:rPr>
          <w:rFonts w:hint="eastAsia" w:ascii="宋体" w:hAnsi="宋体" w:eastAsia="宋体" w:cs="宋体"/>
          <w:color w:val="auto"/>
          <w:sz w:val="21"/>
          <w:szCs w:val="21"/>
          <w:highlight w:val="none"/>
        </w:rPr>
        <w:t>。</w:t>
      </w:r>
    </w:p>
    <w:p w14:paraId="6A6E3EE9">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承包人承担 </w:t>
      </w:r>
      <w:r>
        <w:rPr>
          <w:rFonts w:hint="eastAsia" w:ascii="宋体" w:hAnsi="宋体" w:eastAsia="宋体" w:cs="宋体"/>
          <w:color w:val="auto"/>
          <w:sz w:val="21"/>
          <w:szCs w:val="21"/>
          <w:highlight w:val="none"/>
        </w:rPr>
        <w:t>。</w:t>
      </w:r>
    </w:p>
    <w:p w14:paraId="6554249D">
      <w:pPr>
        <w:pStyle w:val="2"/>
        <w:pageBreakBefore w:val="0"/>
        <w:widowControl w:val="0"/>
        <w:kinsoku/>
        <w:wordWrap/>
        <w:overflowPunct/>
        <w:topLinePunct w:val="0"/>
        <w:bidi w:val="0"/>
        <w:spacing w:line="380" w:lineRule="exact"/>
        <w:ind w:left="0" w:leftChars="0"/>
        <w:textAlignment w:val="auto"/>
        <w:outlineLvl w:val="1"/>
        <w:rPr>
          <w:rFonts w:hint="eastAsia" w:ascii="宋体" w:hAnsi="宋体" w:eastAsia="宋体" w:cs="宋体"/>
          <w:b/>
          <w:bCs w:val="0"/>
          <w:color w:val="auto"/>
          <w:sz w:val="21"/>
          <w:szCs w:val="21"/>
          <w:highlight w:val="none"/>
        </w:rPr>
      </w:pPr>
      <w:bookmarkStart w:id="609" w:name="_Toc351203649"/>
      <w:bookmarkStart w:id="610" w:name="_Toc28293"/>
      <w:bookmarkStart w:id="611" w:name="_Toc16669"/>
      <w:r>
        <w:rPr>
          <w:rFonts w:hint="eastAsia" w:ascii="宋体" w:hAnsi="宋体" w:eastAsia="宋体" w:cs="宋体"/>
          <w:b/>
          <w:bCs w:val="0"/>
          <w:color w:val="auto"/>
          <w:sz w:val="21"/>
          <w:szCs w:val="21"/>
          <w:highlight w:val="none"/>
        </w:rPr>
        <w:t>17. 不可抗力</w:t>
      </w:r>
      <w:bookmarkEnd w:id="609"/>
      <w:bookmarkEnd w:id="610"/>
      <w:bookmarkEnd w:id="611"/>
      <w:r>
        <w:rPr>
          <w:rFonts w:hint="eastAsia" w:ascii="宋体" w:hAnsi="宋体" w:eastAsia="宋体" w:cs="宋体"/>
          <w:b/>
          <w:bCs w:val="0"/>
          <w:color w:val="auto"/>
          <w:sz w:val="21"/>
          <w:szCs w:val="21"/>
          <w:highlight w:val="none"/>
        </w:rPr>
        <w:t xml:space="preserve"> </w:t>
      </w:r>
      <w:bookmarkEnd w:id="603"/>
    </w:p>
    <w:p w14:paraId="0D3C5767">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 不可抗力的确认</w:t>
      </w:r>
    </w:p>
    <w:p w14:paraId="753855E9">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除通用合同条款约定的不可抗力事件之外，视为不可抗力的其他情形：</w:t>
      </w:r>
      <w:r>
        <w:rPr>
          <w:rFonts w:hint="eastAsia" w:ascii="宋体" w:hAnsi="宋体" w:eastAsia="宋体" w:cs="宋体"/>
          <w:color w:val="auto"/>
          <w:sz w:val="21"/>
          <w:szCs w:val="21"/>
          <w:highlight w:val="none"/>
          <w:u w:val="single"/>
        </w:rPr>
        <w:t xml:space="preserve"> 国家权威部门发布且被界定为灾害的洪水、风灾、雪灾等；离子辐射或放射性污染；以音速或</w:t>
      </w:r>
      <w:r>
        <w:rPr>
          <w:rFonts w:hint="eastAsia" w:ascii="宋体" w:hAnsi="宋体" w:eastAsia="宋体" w:cs="宋体"/>
          <w:color w:val="auto"/>
          <w:sz w:val="21"/>
          <w:szCs w:val="21"/>
          <w:highlight w:val="none"/>
          <w:u w:val="single"/>
          <w:lang w:eastAsia="zh-CN"/>
        </w:rPr>
        <w:t>超声速</w:t>
      </w:r>
      <w:r>
        <w:rPr>
          <w:rFonts w:hint="eastAsia" w:ascii="宋体" w:hAnsi="宋体" w:eastAsia="宋体" w:cs="宋体"/>
          <w:color w:val="auto"/>
          <w:sz w:val="21"/>
          <w:szCs w:val="21"/>
          <w:highlight w:val="none"/>
          <w:u w:val="single"/>
        </w:rPr>
        <w:t xml:space="preserve">飞行的飞机或其他飞行装置产生的压力波，飞行坠落；因适用法律的变更或任何适用的后续法律的颁布所导致本合同的履行不再合法  </w:t>
      </w:r>
      <w:r>
        <w:rPr>
          <w:rFonts w:hint="eastAsia" w:ascii="宋体" w:hAnsi="宋体" w:eastAsia="宋体" w:cs="宋体"/>
          <w:color w:val="auto"/>
          <w:sz w:val="21"/>
          <w:szCs w:val="21"/>
          <w:highlight w:val="none"/>
        </w:rPr>
        <w:t>。</w:t>
      </w:r>
    </w:p>
    <w:p w14:paraId="6D335933">
      <w:pPr>
        <w:pageBreakBefore w:val="0"/>
        <w:widowControl w:val="0"/>
        <w:kinsoku/>
        <w:wordWrap/>
        <w:overflowPunct/>
        <w:topLinePunct w:val="0"/>
        <w:bidi w:val="0"/>
        <w:spacing w:line="380" w:lineRule="exact"/>
        <w:ind w:left="0" w:leftChars="0" w:firstLine="420" w:firstLineChars="200"/>
        <w:textAlignment w:val="auto"/>
        <w:outlineLvl w:val="0"/>
        <w:rPr>
          <w:rFonts w:hint="eastAsia" w:ascii="宋体" w:hAnsi="宋体" w:eastAsia="宋体" w:cs="宋体"/>
          <w:color w:val="auto"/>
          <w:sz w:val="21"/>
          <w:szCs w:val="21"/>
          <w:highlight w:val="none"/>
        </w:rPr>
      </w:pPr>
      <w:bookmarkStart w:id="612" w:name="_Toc26340"/>
      <w:bookmarkStart w:id="613" w:name="_Toc32533"/>
      <w:r>
        <w:rPr>
          <w:rFonts w:hint="eastAsia" w:ascii="宋体" w:hAnsi="宋体" w:eastAsia="宋体" w:cs="宋体"/>
          <w:color w:val="auto"/>
          <w:sz w:val="21"/>
          <w:szCs w:val="21"/>
          <w:highlight w:val="none"/>
        </w:rPr>
        <w:t>17.</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因不可抗力解除合同</w:t>
      </w:r>
      <w:bookmarkEnd w:id="612"/>
      <w:bookmarkEnd w:id="613"/>
    </w:p>
    <w:p w14:paraId="7C1C44AD">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合同解除后，发包人应在商定或确定发包人应支付款项后</w:t>
      </w:r>
      <w:r>
        <w:rPr>
          <w:rFonts w:hint="eastAsia" w:ascii="宋体" w:hAnsi="宋体" w:eastAsia="宋体" w:cs="宋体"/>
          <w:color w:val="auto"/>
          <w:sz w:val="21"/>
          <w:szCs w:val="21"/>
          <w:highlight w:val="none"/>
          <w:u w:val="single"/>
        </w:rPr>
        <w:t xml:space="preserve"> 60 </w:t>
      </w:r>
      <w:r>
        <w:rPr>
          <w:rFonts w:hint="eastAsia" w:ascii="宋体" w:hAnsi="宋体" w:eastAsia="宋体" w:cs="宋体"/>
          <w:color w:val="auto"/>
          <w:sz w:val="21"/>
          <w:szCs w:val="21"/>
          <w:highlight w:val="none"/>
        </w:rPr>
        <w:t>天内完成款项的支付。</w:t>
      </w:r>
      <w:bookmarkStart w:id="614" w:name="_Toc30034"/>
      <w:bookmarkStart w:id="615" w:name="_Toc12850"/>
      <w:bookmarkStart w:id="616" w:name="_Toc351203650"/>
    </w:p>
    <w:p w14:paraId="1F034878">
      <w:pPr>
        <w:pageBreakBefore w:val="0"/>
        <w:widowControl w:val="0"/>
        <w:kinsoku/>
        <w:wordWrap/>
        <w:overflowPunct/>
        <w:topLinePunct w:val="0"/>
        <w:bidi w:val="0"/>
        <w:spacing w:line="380" w:lineRule="exact"/>
        <w:jc w:val="left"/>
        <w:textAlignment w:val="auto"/>
        <w:rPr>
          <w:rFonts w:hint="eastAsia" w:ascii="宋体" w:hAnsi="宋体" w:eastAsia="宋体" w:cs="宋体"/>
          <w:color w:val="auto"/>
          <w:sz w:val="21"/>
          <w:szCs w:val="21"/>
          <w:highlight w:val="none"/>
        </w:rPr>
      </w:pPr>
    </w:p>
    <w:p w14:paraId="563F609C">
      <w:pPr>
        <w:pageBreakBefore w:val="0"/>
        <w:widowControl w:val="0"/>
        <w:numPr>
          <w:ilvl w:val="0"/>
          <w:numId w:val="11"/>
        </w:numPr>
        <w:kinsoku/>
        <w:wordWrap/>
        <w:overflowPunct/>
        <w:topLinePunct w:val="0"/>
        <w:bidi w:val="0"/>
        <w:spacing w:line="380" w:lineRule="exact"/>
        <w:jc w:val="left"/>
        <w:textAlignment w:val="auto"/>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保险</w:t>
      </w:r>
      <w:bookmarkEnd w:id="614"/>
      <w:bookmarkEnd w:id="615"/>
      <w:bookmarkEnd w:id="616"/>
    </w:p>
    <w:p w14:paraId="0C4BE4AA">
      <w:pPr>
        <w:pageBreakBefore w:val="0"/>
        <w:widowControl w:val="0"/>
        <w:numPr>
          <w:ilvl w:val="0"/>
          <w:numId w:val="0"/>
        </w:numPr>
        <w:kinsoku/>
        <w:wordWrap/>
        <w:overflowPunct/>
        <w:topLinePunct w:val="0"/>
        <w:bidi w:val="0"/>
        <w:spacing w:line="380" w:lineRule="exact"/>
        <w:jc w:val="left"/>
        <w:textAlignment w:val="auto"/>
        <w:rPr>
          <w:rFonts w:hint="eastAsia" w:ascii="宋体" w:hAnsi="宋体" w:eastAsia="宋体" w:cs="宋体"/>
          <w:b w:val="0"/>
          <w:bCs/>
          <w:color w:val="auto"/>
          <w:kern w:val="2"/>
          <w:sz w:val="21"/>
          <w:szCs w:val="21"/>
          <w:highlight w:val="none"/>
          <w:lang w:val="en-US" w:eastAsia="zh-CN" w:bidi="ar-SA"/>
        </w:rPr>
      </w:pPr>
    </w:p>
    <w:bookmarkEnd w:id="604"/>
    <w:p w14:paraId="4E0753C7">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 工程保险</w:t>
      </w:r>
    </w:p>
    <w:p w14:paraId="7FBBF703">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关于工程保险的特别约定：</w:t>
      </w:r>
      <w:r>
        <w:rPr>
          <w:rFonts w:hint="eastAsia" w:ascii="宋体" w:hAnsi="宋体" w:eastAsia="宋体" w:cs="宋体"/>
          <w:color w:val="auto"/>
          <w:sz w:val="21"/>
          <w:szCs w:val="21"/>
          <w:highlight w:val="none"/>
          <w:u w:val="single"/>
        </w:rPr>
        <w:t xml:space="preserve">  承担合同履行期间所有按规定投保的内容。承包人必须为从事危险作业的职工办理意外伤害保险  </w:t>
      </w:r>
      <w:r>
        <w:rPr>
          <w:rFonts w:hint="eastAsia" w:ascii="宋体" w:hAnsi="宋体" w:eastAsia="宋体" w:cs="宋体"/>
          <w:color w:val="auto"/>
          <w:kern w:val="0"/>
          <w:sz w:val="21"/>
          <w:szCs w:val="21"/>
          <w:highlight w:val="none"/>
        </w:rPr>
        <w:t>。</w:t>
      </w:r>
    </w:p>
    <w:p w14:paraId="3FB89A7A">
      <w:pPr>
        <w:pageBreakBefore w:val="0"/>
        <w:widowControl w:val="0"/>
        <w:kinsoku/>
        <w:wordWrap/>
        <w:overflowPunct/>
        <w:topLinePunct w:val="0"/>
        <w:bidi w:val="0"/>
        <w:spacing w:line="380" w:lineRule="exact"/>
        <w:ind w:left="0" w:leftChars="0" w:firstLine="420" w:firstLineChars="200"/>
        <w:textAlignment w:val="auto"/>
        <w:outlineLvl w:val="0"/>
        <w:rPr>
          <w:rFonts w:hint="eastAsia" w:ascii="宋体" w:hAnsi="宋体" w:eastAsia="宋体" w:cs="宋体"/>
          <w:color w:val="auto"/>
          <w:sz w:val="21"/>
          <w:szCs w:val="21"/>
          <w:highlight w:val="none"/>
        </w:rPr>
      </w:pPr>
      <w:bookmarkStart w:id="617" w:name="_Toc16674"/>
      <w:bookmarkStart w:id="618" w:name="_Toc24691"/>
      <w:r>
        <w:rPr>
          <w:rFonts w:hint="eastAsia" w:ascii="宋体" w:hAnsi="宋体" w:eastAsia="宋体" w:cs="宋体"/>
          <w:color w:val="auto"/>
          <w:sz w:val="21"/>
          <w:szCs w:val="21"/>
          <w:highlight w:val="none"/>
        </w:rPr>
        <w:t>18.</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其他保险</w:t>
      </w:r>
      <w:bookmarkEnd w:id="617"/>
      <w:bookmarkEnd w:id="618"/>
    </w:p>
    <w:p w14:paraId="57FA1D48">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关于其他保险的约定：</w:t>
      </w:r>
      <w:r>
        <w:rPr>
          <w:rFonts w:hint="eastAsia" w:ascii="宋体" w:hAnsi="宋体" w:eastAsia="宋体" w:cs="宋体"/>
          <w:color w:val="auto"/>
          <w:sz w:val="21"/>
          <w:szCs w:val="21"/>
          <w:highlight w:val="none"/>
          <w:u w:val="single"/>
        </w:rPr>
        <w:t xml:space="preserve"> 承包人需为其施工现场的全部人员办理社会保险并支付保险费，包括</w:t>
      </w:r>
      <w:r>
        <w:rPr>
          <w:rFonts w:hint="eastAsia" w:ascii="宋体" w:hAnsi="宋体" w:eastAsia="宋体" w:cs="宋体"/>
          <w:color w:val="auto"/>
          <w:sz w:val="21"/>
          <w:szCs w:val="21"/>
          <w:highlight w:val="none"/>
          <w:u w:val="single"/>
          <w:lang w:eastAsia="zh-CN"/>
        </w:rPr>
        <w:t>其他</w:t>
      </w:r>
      <w:r>
        <w:rPr>
          <w:rFonts w:hint="eastAsia" w:ascii="宋体" w:hAnsi="宋体" w:eastAsia="宋体" w:cs="宋体"/>
          <w:color w:val="auto"/>
          <w:sz w:val="21"/>
          <w:szCs w:val="21"/>
          <w:highlight w:val="none"/>
          <w:u w:val="single"/>
        </w:rPr>
        <w:t xml:space="preserve">员工及为履行合同聘请的第三方的人员  </w:t>
      </w:r>
      <w:r>
        <w:rPr>
          <w:rFonts w:hint="eastAsia" w:ascii="宋体" w:hAnsi="宋体" w:eastAsia="宋体" w:cs="宋体"/>
          <w:color w:val="auto"/>
          <w:sz w:val="21"/>
          <w:szCs w:val="21"/>
          <w:highlight w:val="none"/>
        </w:rPr>
        <w:t>。</w:t>
      </w:r>
    </w:p>
    <w:p w14:paraId="65A7D47A">
      <w:pPr>
        <w:pageBreakBefore w:val="0"/>
        <w:widowControl w:val="0"/>
        <w:kinsoku/>
        <w:wordWrap/>
        <w:overflowPunct/>
        <w:topLinePunct w:val="0"/>
        <w:bidi w:val="0"/>
        <w:spacing w:line="380" w:lineRule="exact"/>
        <w:ind w:left="0" w:leftChars="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承包人是否应为其施工设备等办理财产保险：</w:t>
      </w:r>
      <w:r>
        <w:rPr>
          <w:rFonts w:hint="eastAsia" w:ascii="宋体" w:hAnsi="宋体" w:eastAsia="宋体" w:cs="宋体"/>
          <w:color w:val="auto"/>
          <w:sz w:val="21"/>
          <w:szCs w:val="21"/>
          <w:highlight w:val="none"/>
          <w:u w:val="single"/>
        </w:rPr>
        <w:t xml:space="preserve">  是  </w:t>
      </w:r>
      <w:r>
        <w:rPr>
          <w:rFonts w:hint="eastAsia" w:ascii="宋体" w:hAnsi="宋体" w:eastAsia="宋体" w:cs="宋体"/>
          <w:color w:val="auto"/>
          <w:sz w:val="21"/>
          <w:szCs w:val="21"/>
          <w:highlight w:val="none"/>
        </w:rPr>
        <w:t>。</w:t>
      </w:r>
    </w:p>
    <w:p w14:paraId="30C0DF14">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通知义务</w:t>
      </w:r>
    </w:p>
    <w:p w14:paraId="357D3758">
      <w:pPr>
        <w:pageBreakBefore w:val="0"/>
        <w:widowControl w:val="0"/>
        <w:kinsoku/>
        <w:wordWrap/>
        <w:overflowPunct/>
        <w:topLinePunct w:val="0"/>
        <w:bidi w:val="0"/>
        <w:spacing w:line="380" w:lineRule="exact"/>
        <w:ind w:left="0" w:left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关于变更保险合同时的通知义务的约定：</w:t>
      </w:r>
      <w:r>
        <w:rPr>
          <w:rFonts w:hint="eastAsia" w:ascii="宋体" w:hAnsi="宋体" w:eastAsia="宋体" w:cs="宋体"/>
          <w:color w:val="auto"/>
          <w:sz w:val="21"/>
          <w:szCs w:val="21"/>
          <w:highlight w:val="none"/>
          <w:u w:val="single"/>
        </w:rPr>
        <w:t xml:space="preserve"> 按通用合同条款执行  </w:t>
      </w:r>
      <w:r>
        <w:rPr>
          <w:rFonts w:hint="eastAsia" w:ascii="宋体" w:hAnsi="宋体" w:eastAsia="宋体" w:cs="宋体"/>
          <w:color w:val="auto"/>
          <w:sz w:val="21"/>
          <w:szCs w:val="21"/>
          <w:highlight w:val="none"/>
        </w:rPr>
        <w:t>。</w:t>
      </w:r>
    </w:p>
    <w:bookmarkEnd w:id="568"/>
    <w:bookmarkEnd w:id="569"/>
    <w:bookmarkEnd w:id="570"/>
    <w:bookmarkEnd w:id="571"/>
    <w:bookmarkEnd w:id="572"/>
    <w:bookmarkEnd w:id="573"/>
    <w:bookmarkEnd w:id="574"/>
    <w:bookmarkEnd w:id="575"/>
    <w:bookmarkEnd w:id="576"/>
    <w:bookmarkEnd w:id="577"/>
    <w:bookmarkEnd w:id="578"/>
    <w:bookmarkEnd w:id="579"/>
    <w:p w14:paraId="01A8EFF6">
      <w:pPr>
        <w:pStyle w:val="2"/>
        <w:pageBreakBefore w:val="0"/>
        <w:widowControl w:val="0"/>
        <w:kinsoku/>
        <w:wordWrap/>
        <w:overflowPunct/>
        <w:topLinePunct w:val="0"/>
        <w:bidi w:val="0"/>
        <w:spacing w:line="380" w:lineRule="exact"/>
        <w:ind w:left="0" w:leftChars="0"/>
        <w:textAlignment w:val="auto"/>
        <w:outlineLvl w:val="1"/>
        <w:rPr>
          <w:rFonts w:hint="eastAsia" w:ascii="宋体" w:hAnsi="宋体" w:eastAsia="宋体" w:cs="宋体"/>
          <w:b/>
          <w:bCs w:val="0"/>
          <w:color w:val="auto"/>
          <w:sz w:val="21"/>
          <w:szCs w:val="21"/>
          <w:highlight w:val="none"/>
        </w:rPr>
      </w:pPr>
      <w:bookmarkStart w:id="619" w:name="_Toc351203651"/>
      <w:bookmarkStart w:id="620" w:name="_Toc23778"/>
      <w:bookmarkStart w:id="621" w:name="_Toc21836"/>
      <w:r>
        <w:rPr>
          <w:rFonts w:hint="eastAsia" w:ascii="宋体" w:hAnsi="宋体" w:eastAsia="宋体" w:cs="宋体"/>
          <w:b/>
          <w:bCs w:val="0"/>
          <w:color w:val="auto"/>
          <w:sz w:val="21"/>
          <w:szCs w:val="21"/>
          <w:highlight w:val="none"/>
          <w:lang w:val="en-US" w:eastAsia="zh-CN"/>
        </w:rPr>
        <w:t>19</w:t>
      </w:r>
      <w:r>
        <w:rPr>
          <w:rFonts w:hint="eastAsia" w:ascii="宋体" w:hAnsi="宋体" w:eastAsia="宋体" w:cs="宋体"/>
          <w:b/>
          <w:bCs w:val="0"/>
          <w:color w:val="auto"/>
          <w:sz w:val="21"/>
          <w:szCs w:val="21"/>
          <w:highlight w:val="none"/>
        </w:rPr>
        <w:t>. 争议解决</w:t>
      </w:r>
      <w:bookmarkEnd w:id="619"/>
      <w:bookmarkEnd w:id="620"/>
      <w:bookmarkEnd w:id="621"/>
    </w:p>
    <w:bookmarkEnd w:id="580"/>
    <w:bookmarkEnd w:id="581"/>
    <w:p w14:paraId="34FF3D1B">
      <w:pPr>
        <w:pageBreakBefore w:val="0"/>
        <w:widowControl w:val="0"/>
        <w:kinsoku/>
        <w:wordWrap/>
        <w:overflowPunct/>
        <w:topLinePunct w:val="0"/>
        <w:bidi w:val="0"/>
        <w:spacing w:line="380" w:lineRule="exact"/>
        <w:ind w:left="0" w:leftChars="0" w:firstLine="420" w:firstLineChars="200"/>
        <w:textAlignment w:val="auto"/>
        <w:outlineLvl w:val="0"/>
        <w:rPr>
          <w:rFonts w:hint="eastAsia" w:ascii="宋体" w:hAnsi="宋体" w:eastAsia="宋体" w:cs="宋体"/>
          <w:color w:val="auto"/>
          <w:sz w:val="21"/>
          <w:szCs w:val="21"/>
          <w:highlight w:val="none"/>
        </w:rPr>
      </w:pPr>
      <w:bookmarkStart w:id="622" w:name="_Toc26732"/>
      <w:bookmarkStart w:id="623" w:name="_Toc27376"/>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 xml:space="preserve"> 争</w:t>
      </w:r>
      <w:bookmarkEnd w:id="582"/>
      <w:r>
        <w:rPr>
          <w:rFonts w:hint="eastAsia" w:ascii="宋体" w:hAnsi="宋体" w:eastAsia="宋体" w:cs="宋体"/>
          <w:color w:val="auto"/>
          <w:sz w:val="21"/>
          <w:szCs w:val="21"/>
          <w:highlight w:val="none"/>
        </w:rPr>
        <w:t>议评审</w:t>
      </w:r>
      <w:bookmarkEnd w:id="622"/>
      <w:bookmarkEnd w:id="623"/>
    </w:p>
    <w:p w14:paraId="0976C3AB">
      <w:pPr>
        <w:pageBreakBefore w:val="0"/>
        <w:widowControl w:val="0"/>
        <w:kinsoku/>
        <w:wordWrap/>
        <w:overflowPunct/>
        <w:topLinePunct w:val="0"/>
        <w:bidi w:val="0"/>
        <w:spacing w:line="380" w:lineRule="exact"/>
        <w:ind w:left="0" w:left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合同当事人是否同意将工程争议提交争议评审小组决定：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0AB17D16">
      <w:pPr>
        <w:pageBreakBefore w:val="0"/>
        <w:widowControl w:val="0"/>
        <w:kinsoku/>
        <w:wordWrap/>
        <w:overflowPunct/>
        <w:topLinePunct w:val="0"/>
        <w:bidi w:val="0"/>
        <w:spacing w:line="380" w:lineRule="exact"/>
        <w:ind w:left="0" w:leftChars="0" w:firstLine="420" w:firstLineChars="200"/>
        <w:jc w:val="left"/>
        <w:textAlignment w:val="auto"/>
        <w:outlineLvl w:val="0"/>
        <w:rPr>
          <w:rFonts w:hint="eastAsia" w:ascii="宋体" w:hAnsi="宋体" w:eastAsia="宋体" w:cs="宋体"/>
          <w:color w:val="auto"/>
          <w:sz w:val="21"/>
          <w:szCs w:val="21"/>
          <w:highlight w:val="none"/>
        </w:rPr>
      </w:pPr>
      <w:bookmarkStart w:id="624" w:name="_Toc11235"/>
      <w:bookmarkStart w:id="625" w:name="_Toc23775"/>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.1 争议评审小组的确定</w:t>
      </w:r>
      <w:bookmarkEnd w:id="624"/>
      <w:bookmarkEnd w:id="625"/>
    </w:p>
    <w:p w14:paraId="08B2F60D">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争议评审小组成员的确定：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924CDEC">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选定争议评审员的期限：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558DFAA">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争议评审小组成员的报酬承担方式：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5C28ED5">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68DB9F1">
      <w:pPr>
        <w:pageBreakBefore w:val="0"/>
        <w:widowControl w:val="0"/>
        <w:kinsoku/>
        <w:wordWrap/>
        <w:overflowPunct/>
        <w:topLinePunct w:val="0"/>
        <w:autoSpaceDE w:val="0"/>
        <w:autoSpaceDN w:val="0"/>
        <w:bidi w:val="0"/>
        <w:adjustRightInd w:val="0"/>
        <w:spacing w:line="380" w:lineRule="exact"/>
        <w:ind w:left="0" w:leftChars="0" w:firstLine="420" w:firstLineChars="200"/>
        <w:jc w:val="left"/>
        <w:textAlignment w:val="auto"/>
        <w:outlineLvl w:val="0"/>
        <w:rPr>
          <w:rFonts w:hint="eastAsia" w:ascii="宋体" w:hAnsi="宋体" w:eastAsia="宋体" w:cs="宋体"/>
          <w:color w:val="auto"/>
          <w:kern w:val="0"/>
          <w:sz w:val="21"/>
          <w:szCs w:val="21"/>
          <w:highlight w:val="none"/>
        </w:rPr>
      </w:pPr>
      <w:bookmarkStart w:id="626" w:name="_Toc2082"/>
      <w:bookmarkStart w:id="627" w:name="_Toc24576"/>
      <w:r>
        <w:rPr>
          <w:rFonts w:hint="eastAsia" w:ascii="宋体" w:hAnsi="宋体" w:eastAsia="宋体" w:cs="宋体"/>
          <w:color w:val="auto"/>
          <w:kern w:val="0"/>
          <w:sz w:val="21"/>
          <w:szCs w:val="21"/>
          <w:highlight w:val="none"/>
          <w:lang w:val="en-US" w:eastAsia="zh-CN"/>
        </w:rPr>
        <w:t>19</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.2 争议评审小组的决定</w:t>
      </w:r>
      <w:bookmarkEnd w:id="626"/>
      <w:bookmarkEnd w:id="627"/>
    </w:p>
    <w:p w14:paraId="652AE092">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合同当事人关于</w:t>
      </w:r>
      <w:r>
        <w:rPr>
          <w:rFonts w:hint="eastAsia" w:ascii="宋体" w:hAnsi="宋体" w:eastAsia="宋体" w:cs="宋体"/>
          <w:color w:val="auto"/>
          <w:sz w:val="21"/>
          <w:szCs w:val="21"/>
          <w:highlight w:val="none"/>
          <w:lang w:eastAsia="zh-CN"/>
        </w:rPr>
        <w:t>本事</w:t>
      </w:r>
      <w:r>
        <w:rPr>
          <w:rFonts w:hint="eastAsia" w:ascii="宋体" w:hAnsi="宋体" w:eastAsia="宋体" w:cs="宋体"/>
          <w:color w:val="auto"/>
          <w:sz w:val="21"/>
          <w:szCs w:val="21"/>
          <w:highlight w:val="none"/>
        </w:rPr>
        <w:t>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AADF300">
      <w:pPr>
        <w:pageBreakBefore w:val="0"/>
        <w:widowControl w:val="0"/>
        <w:kinsoku/>
        <w:wordWrap/>
        <w:overflowPunct/>
        <w:topLinePunct w:val="0"/>
        <w:bidi w:val="0"/>
        <w:spacing w:line="380" w:lineRule="exact"/>
        <w:ind w:left="0" w:leftChars="0" w:firstLine="420" w:firstLineChars="200"/>
        <w:textAlignment w:val="auto"/>
        <w:outlineLvl w:val="0"/>
        <w:rPr>
          <w:rFonts w:hint="eastAsia" w:ascii="宋体" w:hAnsi="宋体" w:eastAsia="宋体" w:cs="宋体"/>
          <w:color w:val="auto"/>
          <w:sz w:val="21"/>
          <w:szCs w:val="21"/>
          <w:highlight w:val="none"/>
        </w:rPr>
      </w:pPr>
      <w:bookmarkStart w:id="628" w:name="_Toc14174"/>
      <w:bookmarkStart w:id="629" w:name="_Toc13519"/>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仲裁或诉讼</w:t>
      </w:r>
      <w:bookmarkEnd w:id="583"/>
      <w:bookmarkEnd w:id="628"/>
      <w:bookmarkEnd w:id="629"/>
    </w:p>
    <w:p w14:paraId="19FCD99A">
      <w:pPr>
        <w:pageBreakBefore w:val="0"/>
        <w:widowControl w:val="0"/>
        <w:kinsoku/>
        <w:wordWrap/>
        <w:overflowPunct/>
        <w:topLinePunct w:val="0"/>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因合同及合同有关事项发生的争议，按下列第</w:t>
      </w:r>
      <w:r>
        <w:rPr>
          <w:rFonts w:hint="eastAsia" w:ascii="宋体" w:hAnsi="宋体" w:eastAsia="宋体" w:cs="宋体"/>
          <w:color w:val="auto"/>
          <w:sz w:val="21"/>
          <w:szCs w:val="21"/>
          <w:highlight w:val="none"/>
          <w:u w:val="single"/>
        </w:rPr>
        <w:t xml:space="preserve"> 2</w:t>
      </w:r>
      <w:r>
        <w:rPr>
          <w:rFonts w:hint="eastAsia" w:ascii="宋体" w:hAnsi="宋体" w:eastAsia="宋体" w:cs="宋体"/>
          <w:color w:val="auto"/>
          <w:sz w:val="21"/>
          <w:szCs w:val="21"/>
          <w:highlight w:val="none"/>
        </w:rPr>
        <w:t>种方式解决：</w:t>
      </w:r>
    </w:p>
    <w:p w14:paraId="27BFB3FC">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（1）向</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仲裁委员会申请仲裁；</w:t>
      </w:r>
    </w:p>
    <w:p w14:paraId="4C17D208">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u w:val="single"/>
        </w:rPr>
        <w:t xml:space="preserve">     盱眙县      </w:t>
      </w:r>
      <w:r>
        <w:rPr>
          <w:rFonts w:hint="eastAsia" w:ascii="宋体" w:hAnsi="宋体" w:eastAsia="宋体" w:cs="宋体"/>
          <w:color w:val="auto"/>
          <w:sz w:val="21"/>
          <w:szCs w:val="21"/>
          <w:highlight w:val="none"/>
        </w:rPr>
        <w:t>人民法院起诉。</w:t>
      </w:r>
      <w:bookmarkEnd w:id="584"/>
      <w:bookmarkEnd w:id="585"/>
      <w:bookmarkEnd w:id="586"/>
      <w:bookmarkEnd w:id="587"/>
      <w:bookmarkEnd w:id="588"/>
      <w:bookmarkEnd w:id="589"/>
    </w:p>
    <w:p w14:paraId="46D53CCD">
      <w:pPr>
        <w:pStyle w:val="2"/>
        <w:pageBreakBefore w:val="0"/>
        <w:widowControl w:val="0"/>
        <w:kinsoku/>
        <w:wordWrap/>
        <w:overflowPunct/>
        <w:topLinePunct w:val="0"/>
        <w:bidi w:val="0"/>
        <w:spacing w:line="380" w:lineRule="exact"/>
        <w:ind w:left="0" w:leftChars="0" w:firstLine="422"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lang w:eastAsia="zh-CN"/>
        </w:rPr>
        <w:t>. 补充条款：</w:t>
      </w:r>
    </w:p>
    <w:p w14:paraId="5E4E35A6">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1.</w:t>
      </w:r>
      <w:r>
        <w:rPr>
          <w:rFonts w:hint="eastAsia" w:ascii="宋体" w:hAnsi="宋体" w:eastAsia="宋体" w:cs="宋体"/>
          <w:color w:val="auto"/>
          <w:sz w:val="21"/>
          <w:szCs w:val="21"/>
          <w:highlight w:val="none"/>
        </w:rPr>
        <w:t>承包人擅自停工的，发包人有权单方解除合同或安排其他施工队进场施工，施工费用从承包人工程款中扣除。如承包人擅自停工对发包人造成的损失，由承包人承担。</w:t>
      </w:r>
    </w:p>
    <w:p w14:paraId="4C26130D">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2.</w:t>
      </w:r>
      <w:r>
        <w:rPr>
          <w:rFonts w:hint="eastAsia" w:ascii="宋体" w:hAnsi="宋体" w:eastAsia="宋体" w:cs="宋体"/>
          <w:color w:val="auto"/>
          <w:sz w:val="21"/>
          <w:szCs w:val="21"/>
          <w:highlight w:val="none"/>
        </w:rPr>
        <w:t>承包人施工进度缓慢或消极怠工，发包人或监理人认为承包人无法在合同工期内完成，发包人有权另行安排施工队进场施工，施工费用从承包人工程款中扣除。</w:t>
      </w:r>
    </w:p>
    <w:p w14:paraId="7F071613">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3.</w:t>
      </w:r>
      <w:r>
        <w:rPr>
          <w:rFonts w:hint="eastAsia" w:ascii="宋体" w:hAnsi="宋体" w:eastAsia="宋体" w:cs="宋体"/>
          <w:color w:val="auto"/>
          <w:sz w:val="21"/>
          <w:szCs w:val="21"/>
          <w:highlight w:val="none"/>
        </w:rPr>
        <w:t>承包人必须服从现场甲方代表、监理的协调指挥，不得野蛮施工。如三次书面警告无效后，发包人可单方解除合同。</w:t>
      </w:r>
    </w:p>
    <w:p w14:paraId="3D5BC438">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4.</w:t>
      </w:r>
      <w:r>
        <w:rPr>
          <w:rFonts w:hint="eastAsia" w:ascii="宋体" w:hAnsi="宋体" w:eastAsia="宋体" w:cs="宋体"/>
          <w:color w:val="auto"/>
          <w:sz w:val="21"/>
          <w:szCs w:val="21"/>
          <w:highlight w:val="none"/>
        </w:rPr>
        <w:t>承包人必须严格按照设计文件进行施工，所用材料必须符合相关设计及规范要求，严禁使用劣质产品，如经发现必须无条件返工。</w:t>
      </w:r>
    </w:p>
    <w:p w14:paraId="1DFF8A1D">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5.</w:t>
      </w:r>
      <w:r>
        <w:rPr>
          <w:rFonts w:hint="eastAsia" w:ascii="宋体" w:hAnsi="宋体" w:eastAsia="宋体" w:cs="宋体"/>
          <w:color w:val="auto"/>
          <w:sz w:val="21"/>
          <w:szCs w:val="21"/>
          <w:highlight w:val="none"/>
        </w:rPr>
        <w:t>承包人不得以任何理由煽动施工人员攻击公务人员或行政机关，如有发现发包人可单方解除合同。</w:t>
      </w:r>
    </w:p>
    <w:p w14:paraId="20DA92E3">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6.</w:t>
      </w:r>
      <w:r>
        <w:rPr>
          <w:rFonts w:hint="eastAsia" w:ascii="宋体" w:hAnsi="宋体" w:eastAsia="宋体" w:cs="宋体"/>
          <w:color w:val="auto"/>
          <w:sz w:val="21"/>
          <w:szCs w:val="21"/>
          <w:highlight w:val="none"/>
        </w:rPr>
        <w:t>承包人必须按有关法规政策及时足额发放农民工工资，办理相关保险，否则因欠发农民工工资及欠缴相关保险，导致农民工上访闹事，发包人除按本合同有关条款对承包人给予扣除工程款外，还有权要求承包人承担因此给发包人造成的一切损失。</w:t>
      </w:r>
    </w:p>
    <w:p w14:paraId="74A381F5">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7.</w:t>
      </w:r>
      <w:r>
        <w:rPr>
          <w:rFonts w:hint="eastAsia" w:ascii="宋体" w:hAnsi="宋体" w:eastAsia="宋体" w:cs="宋体"/>
          <w:color w:val="auto"/>
          <w:sz w:val="21"/>
          <w:szCs w:val="21"/>
          <w:highlight w:val="none"/>
        </w:rPr>
        <w:t>审计核减金额超出送审金额的5%，所有审计费均由承包人承担。</w:t>
      </w:r>
    </w:p>
    <w:p w14:paraId="2A544B4A">
      <w:pPr>
        <w:pageBreakBefore w:val="0"/>
        <w:widowControl w:val="0"/>
        <w:kinsoku/>
        <w:wordWrap/>
        <w:overflowPunct/>
        <w:topLinePunct w:val="0"/>
        <w:bidi w:val="0"/>
        <w:spacing w:line="38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8.</w:t>
      </w:r>
      <w:r>
        <w:rPr>
          <w:rFonts w:hint="eastAsia" w:ascii="宋体" w:hAnsi="宋体" w:eastAsia="宋体" w:cs="宋体"/>
          <w:color w:val="auto"/>
          <w:sz w:val="21"/>
          <w:szCs w:val="21"/>
          <w:highlight w:val="none"/>
        </w:rPr>
        <w:t>承包人承担所有材料检测费用。</w:t>
      </w:r>
    </w:p>
    <w:p w14:paraId="12E54A0B">
      <w:pPr>
        <w:pageBreakBefore w:val="0"/>
        <w:kinsoku/>
        <w:overflowPunct/>
        <w:topLinePunct w:val="0"/>
        <w:bidi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22DB1F30">
      <w:pPr>
        <w:pageBreakBefore w:val="0"/>
        <w:kinsoku/>
        <w:overflowPunct/>
        <w:topLinePunct w:val="0"/>
        <w:bidi w:val="0"/>
        <w:spacing w:line="38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附件1：</w:t>
      </w:r>
    </w:p>
    <w:p w14:paraId="2E2C0BF9">
      <w:pPr>
        <w:pageBreakBefore w:val="0"/>
        <w:kinsoku/>
        <w:overflowPunct/>
        <w:topLinePunct w:val="0"/>
        <w:bidi w:val="0"/>
        <w:spacing w:line="38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建设工程质量保修书</w:t>
      </w:r>
    </w:p>
    <w:p w14:paraId="5F95BF40">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发包人（全称）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（简称甲方）</w:t>
      </w:r>
    </w:p>
    <w:p w14:paraId="63B63B47">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none"/>
          <w:lang w:val="en-US" w:eastAsia="zh-CN"/>
        </w:rPr>
        <w:t>承包人（全称）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（简称乙方）</w:t>
      </w:r>
    </w:p>
    <w:p w14:paraId="146D2B26">
      <w:pPr>
        <w:keepNext w:val="0"/>
        <w:keepLines w:val="0"/>
        <w:pageBreakBefore w:val="0"/>
        <w:widowControl w:val="0"/>
        <w:kinsoku/>
        <w:wordWrap/>
        <w:overflowPunct/>
        <w:topLinePunct w:val="0"/>
        <w:autoSpaceDE/>
        <w:autoSpaceDN/>
        <w:bidi w:val="0"/>
        <w:adjustRightInd/>
        <w:snapToGrid/>
        <w:spacing w:line="380" w:lineRule="exact"/>
        <w:ind w:firstLine="435"/>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发包人、承包人根据《中华人民共和国建筑法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建设工程质量管理条例》和《房屋建筑工程质量保修办法》，经协商一致，对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（工程全称）</w:t>
      </w:r>
      <w:r>
        <w:rPr>
          <w:rFonts w:hint="eastAsia" w:ascii="宋体" w:hAnsi="宋体" w:eastAsia="宋体" w:cs="宋体"/>
          <w:color w:val="auto"/>
          <w:sz w:val="21"/>
          <w:szCs w:val="21"/>
          <w:highlight w:val="none"/>
          <w:lang w:eastAsia="zh-CN"/>
        </w:rPr>
        <w:t>签订</w:t>
      </w:r>
      <w:r>
        <w:rPr>
          <w:rFonts w:hint="eastAsia" w:ascii="宋体" w:hAnsi="宋体" w:eastAsia="宋体" w:cs="宋体"/>
          <w:color w:val="auto"/>
          <w:sz w:val="21"/>
          <w:szCs w:val="21"/>
          <w:highlight w:val="none"/>
        </w:rPr>
        <w:t>工程质量保修书。</w:t>
      </w:r>
    </w:p>
    <w:p w14:paraId="63DE77A9">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一、工程质量保修范围和内容</w:t>
      </w:r>
    </w:p>
    <w:p w14:paraId="6E4D9710">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承包人在质量保修期内，按照有关</w:t>
      </w:r>
      <w:r>
        <w:rPr>
          <w:rFonts w:hint="eastAsia" w:ascii="宋体" w:hAnsi="宋体" w:eastAsia="宋体" w:cs="宋体"/>
          <w:bCs/>
          <w:color w:val="auto"/>
          <w:sz w:val="21"/>
          <w:szCs w:val="21"/>
          <w:highlight w:val="none"/>
          <w:lang w:eastAsia="zh-CN"/>
        </w:rPr>
        <w:t>法律法规</w:t>
      </w:r>
      <w:r>
        <w:rPr>
          <w:rFonts w:hint="eastAsia" w:ascii="宋体" w:hAnsi="宋体" w:eastAsia="宋体" w:cs="宋体"/>
          <w:bCs/>
          <w:color w:val="auto"/>
          <w:sz w:val="21"/>
          <w:szCs w:val="21"/>
          <w:highlight w:val="none"/>
        </w:rPr>
        <w:t>、规章的管理规定和双方约定，承担本工程质量保修责任。</w:t>
      </w:r>
    </w:p>
    <w:p w14:paraId="668CF2F5">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质量保修范围</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 xml:space="preserve">  </w:t>
      </w:r>
    </w:p>
    <w:p w14:paraId="06B16ACC">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具体质量保修内容双方约定如下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所有施工项目按规定保修</w:t>
      </w:r>
    </w:p>
    <w:p w14:paraId="124EFB24">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二、质量保修期</w:t>
      </w:r>
    </w:p>
    <w:p w14:paraId="7222945B">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双方根据《建设工程质量管理条例》及有关规定，约定本工程的质量保修期如下</w:t>
      </w:r>
      <w:r>
        <w:rPr>
          <w:rFonts w:hint="eastAsia" w:ascii="宋体" w:hAnsi="宋体" w:eastAsia="宋体" w:cs="宋体"/>
          <w:color w:val="auto"/>
          <w:sz w:val="21"/>
          <w:szCs w:val="21"/>
          <w:highlight w:val="none"/>
          <w:lang w:eastAsia="zh-CN"/>
        </w:rPr>
        <w:t>：</w:t>
      </w:r>
    </w:p>
    <w:p w14:paraId="4B0AB8F3">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cs="宋体"/>
          <w:bCs/>
          <w:color w:val="auto"/>
          <w:sz w:val="21"/>
          <w:szCs w:val="21"/>
          <w:highlight w:val="none"/>
          <w:lang w:eastAsia="zh-CN"/>
        </w:rPr>
        <w:t>1.</w:t>
      </w:r>
      <w:r>
        <w:rPr>
          <w:rFonts w:hint="eastAsia" w:ascii="宋体" w:hAnsi="宋体" w:eastAsia="宋体" w:cs="宋体"/>
          <w:bCs/>
          <w:color w:val="auto"/>
          <w:sz w:val="21"/>
          <w:szCs w:val="21"/>
          <w:highlight w:val="none"/>
        </w:rPr>
        <w:t>基础设施工程、房屋建筑的地基基础工程和主体工程质保期：以设计合理使用年限为准；</w:t>
      </w:r>
    </w:p>
    <w:p w14:paraId="0552A925">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2.</w:t>
      </w:r>
      <w:r>
        <w:rPr>
          <w:rFonts w:hint="eastAsia" w:ascii="宋体" w:hAnsi="宋体" w:eastAsia="宋体" w:cs="宋体"/>
          <w:bCs/>
          <w:color w:val="auto"/>
          <w:sz w:val="21"/>
          <w:szCs w:val="21"/>
          <w:highlight w:val="none"/>
        </w:rPr>
        <w:t>屋面防水工程、有防水要求的卫生间、房间和外墙面的防渗漏为五年；</w:t>
      </w:r>
    </w:p>
    <w:p w14:paraId="06376318">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3.</w:t>
      </w:r>
      <w:r>
        <w:rPr>
          <w:rFonts w:hint="eastAsia" w:ascii="宋体" w:hAnsi="宋体" w:eastAsia="宋体" w:cs="宋体"/>
          <w:bCs/>
          <w:color w:val="auto"/>
          <w:sz w:val="21"/>
          <w:szCs w:val="21"/>
          <w:highlight w:val="none"/>
        </w:rPr>
        <w:t>装修工程为贰年；</w:t>
      </w:r>
    </w:p>
    <w:p w14:paraId="35D08F4A">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4.</w:t>
      </w:r>
      <w:r>
        <w:rPr>
          <w:rFonts w:hint="eastAsia" w:ascii="宋体" w:hAnsi="宋体" w:eastAsia="宋体" w:cs="宋体"/>
          <w:color w:val="auto"/>
          <w:sz w:val="21"/>
          <w:szCs w:val="21"/>
          <w:highlight w:val="none"/>
        </w:rPr>
        <w:t>电气管线、给排水管道、设备安装为</w:t>
      </w:r>
      <w:r>
        <w:rPr>
          <w:rFonts w:hint="eastAsia" w:ascii="宋体" w:hAnsi="宋体" w:eastAsia="宋体" w:cs="宋体"/>
          <w:bCs/>
          <w:color w:val="auto"/>
          <w:sz w:val="21"/>
          <w:szCs w:val="21"/>
          <w:highlight w:val="none"/>
          <w:u w:val="single"/>
        </w:rPr>
        <w:t>贰年</w:t>
      </w:r>
      <w:r>
        <w:rPr>
          <w:rFonts w:hint="eastAsia" w:ascii="宋体" w:hAnsi="宋体" w:eastAsia="宋体" w:cs="宋体"/>
          <w:color w:val="auto"/>
          <w:sz w:val="21"/>
          <w:szCs w:val="21"/>
          <w:highlight w:val="none"/>
        </w:rPr>
        <w:t>；</w:t>
      </w:r>
    </w:p>
    <w:p w14:paraId="6789B533">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5.</w:t>
      </w:r>
      <w:r>
        <w:rPr>
          <w:rFonts w:hint="eastAsia" w:ascii="宋体" w:hAnsi="宋体" w:eastAsia="宋体" w:cs="宋体"/>
          <w:color w:val="auto"/>
          <w:sz w:val="21"/>
          <w:szCs w:val="21"/>
          <w:highlight w:val="none"/>
        </w:rPr>
        <w:t>供热与供冷系统，为</w:t>
      </w:r>
      <w:r>
        <w:rPr>
          <w:rFonts w:hint="eastAsia" w:ascii="宋体" w:hAnsi="宋体" w:eastAsia="宋体" w:cs="宋体"/>
          <w:bCs/>
          <w:color w:val="auto"/>
          <w:sz w:val="21"/>
          <w:szCs w:val="21"/>
          <w:highlight w:val="none"/>
          <w:u w:val="single"/>
        </w:rPr>
        <w:t>贰个</w:t>
      </w:r>
      <w:r>
        <w:rPr>
          <w:rFonts w:hint="eastAsia" w:ascii="宋体" w:hAnsi="宋体" w:eastAsia="宋体" w:cs="宋体"/>
          <w:color w:val="auto"/>
          <w:sz w:val="21"/>
          <w:szCs w:val="21"/>
          <w:highlight w:val="none"/>
        </w:rPr>
        <w:t>采暖期、供冷期；</w:t>
      </w:r>
    </w:p>
    <w:p w14:paraId="06924D0E">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6.</w:t>
      </w:r>
      <w:r>
        <w:rPr>
          <w:rFonts w:hint="eastAsia" w:ascii="宋体" w:hAnsi="宋体" w:eastAsia="宋体" w:cs="宋体"/>
          <w:color w:val="auto"/>
          <w:sz w:val="21"/>
          <w:szCs w:val="21"/>
          <w:highlight w:val="none"/>
        </w:rPr>
        <w:t>道路、水泥地坪等为</w:t>
      </w:r>
      <w:r>
        <w:rPr>
          <w:rFonts w:hint="eastAsia" w:ascii="宋体" w:hAnsi="宋体" w:eastAsia="宋体" w:cs="宋体"/>
          <w:bCs/>
          <w:color w:val="auto"/>
          <w:sz w:val="21"/>
          <w:szCs w:val="21"/>
          <w:highlight w:val="none"/>
          <w:u w:val="single"/>
        </w:rPr>
        <w:t>贰年</w:t>
      </w:r>
      <w:r>
        <w:rPr>
          <w:rFonts w:hint="eastAsia" w:ascii="宋体" w:hAnsi="宋体" w:eastAsia="宋体" w:cs="宋体"/>
          <w:color w:val="auto"/>
          <w:sz w:val="21"/>
          <w:szCs w:val="21"/>
          <w:highlight w:val="none"/>
        </w:rPr>
        <w:t>；</w:t>
      </w:r>
    </w:p>
    <w:p w14:paraId="1E8A2B43">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7.</w:t>
      </w:r>
      <w:r>
        <w:rPr>
          <w:rFonts w:hint="eastAsia" w:ascii="宋体" w:hAnsi="宋体" w:eastAsia="宋体" w:cs="宋体"/>
          <w:color w:val="auto"/>
          <w:sz w:val="21"/>
          <w:szCs w:val="21"/>
          <w:highlight w:val="none"/>
        </w:rPr>
        <w:t>绿化、苗木等免费养护期为</w:t>
      </w:r>
      <w:r>
        <w:rPr>
          <w:rFonts w:hint="eastAsia" w:ascii="宋体" w:hAnsi="宋体" w:eastAsia="宋体" w:cs="宋体"/>
          <w:color w:val="auto"/>
          <w:sz w:val="21"/>
          <w:szCs w:val="21"/>
          <w:highlight w:val="none"/>
          <w:u w:val="single"/>
        </w:rPr>
        <w:t>贰年</w:t>
      </w:r>
      <w:r>
        <w:rPr>
          <w:rFonts w:hint="eastAsia" w:ascii="宋体" w:hAnsi="宋体" w:eastAsia="宋体" w:cs="宋体"/>
          <w:color w:val="auto"/>
          <w:sz w:val="21"/>
          <w:szCs w:val="21"/>
          <w:highlight w:val="none"/>
        </w:rPr>
        <w:t>；</w:t>
      </w:r>
    </w:p>
    <w:p w14:paraId="5B7A463D">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8.</w:t>
      </w:r>
      <w:r>
        <w:rPr>
          <w:rFonts w:hint="eastAsia" w:ascii="宋体" w:hAnsi="宋体" w:eastAsia="宋体" w:cs="宋体"/>
          <w:color w:val="auto"/>
          <w:sz w:val="21"/>
          <w:szCs w:val="21"/>
          <w:highlight w:val="none"/>
        </w:rPr>
        <w:t>其他项目保修期限约定如下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 按国家规定。        </w:t>
      </w:r>
    </w:p>
    <w:p w14:paraId="32ED1DEA">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质量保修期自工程竣工验收合格之日起计算。</w:t>
      </w:r>
    </w:p>
    <w:p w14:paraId="50C65E1C">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三、缺陷责任期</w:t>
      </w:r>
    </w:p>
    <w:p w14:paraId="150492D2">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工程缺陷责任期为</w:t>
      </w:r>
      <w:r>
        <w:rPr>
          <w:rFonts w:hint="eastAsia" w:ascii="宋体" w:hAnsi="宋体" w:eastAsia="宋体" w:cs="宋体"/>
          <w:color w:val="auto"/>
          <w:sz w:val="21"/>
          <w:szCs w:val="21"/>
          <w:highlight w:val="none"/>
          <w:u w:val="single"/>
          <w:lang w:val="en-US" w:eastAsia="zh-CN"/>
        </w:rPr>
        <w:t xml:space="preserve"> 24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个月，缺陷责任期自工程通过竣工验收之日起计算。单位工程先于全部工程进行验收，单位工程缺陷责任期自单位工程验收合格之日起算。</w:t>
      </w:r>
    </w:p>
    <w:p w14:paraId="0BD5D6E5">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 四</w:t>
      </w:r>
      <w:r>
        <w:rPr>
          <w:rFonts w:hint="eastAsia" w:ascii="宋体" w:hAnsi="宋体" w:eastAsia="宋体" w:cs="宋体"/>
          <w:color w:val="auto"/>
          <w:sz w:val="21"/>
          <w:szCs w:val="21"/>
          <w:highlight w:val="none"/>
        </w:rPr>
        <w:t>、质量保修责任</w:t>
      </w:r>
    </w:p>
    <w:p w14:paraId="7535ABBD">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1.</w:t>
      </w:r>
      <w:r>
        <w:rPr>
          <w:rFonts w:hint="eastAsia" w:ascii="宋体" w:hAnsi="宋体" w:eastAsia="宋体" w:cs="宋体"/>
          <w:color w:val="auto"/>
          <w:sz w:val="21"/>
          <w:szCs w:val="21"/>
          <w:highlight w:val="none"/>
        </w:rPr>
        <w:t>属于保修范围和内容的项目，承包人应在接到修理通知之</w:t>
      </w:r>
      <w:r>
        <w:rPr>
          <w:rFonts w:hint="eastAsia" w:ascii="宋体" w:hAnsi="宋体" w:cs="宋体"/>
          <w:color w:val="auto"/>
          <w:sz w:val="21"/>
          <w:szCs w:val="21"/>
          <w:highlight w:val="none"/>
          <w:lang w:eastAsia="zh-CN"/>
        </w:rPr>
        <w:t>日起</w:t>
      </w:r>
      <w:r>
        <w:rPr>
          <w:rFonts w:hint="eastAsia" w:ascii="宋体" w:hAnsi="宋体" w:eastAsia="宋体" w:cs="宋体"/>
          <w:color w:val="auto"/>
          <w:sz w:val="21"/>
          <w:szCs w:val="21"/>
          <w:highlight w:val="none"/>
          <w:u w:val="single"/>
          <w:lang w:val="en-US" w:eastAsia="zh-CN"/>
        </w:rPr>
        <w:t>24小时</w:t>
      </w:r>
      <w:r>
        <w:rPr>
          <w:rFonts w:hint="eastAsia" w:ascii="宋体" w:hAnsi="宋体" w:eastAsia="宋体" w:cs="宋体"/>
          <w:color w:val="auto"/>
          <w:sz w:val="21"/>
          <w:szCs w:val="21"/>
          <w:highlight w:val="none"/>
        </w:rPr>
        <w:t>内派人进行修理。承包人不在约定期限内，派人修理，发包人可委托其他人员修理，产生的费用从质量保修金中扣除。</w:t>
      </w:r>
    </w:p>
    <w:p w14:paraId="7C91F885">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2.</w:t>
      </w:r>
      <w:r>
        <w:rPr>
          <w:rFonts w:hint="eastAsia" w:ascii="宋体" w:hAnsi="宋体" w:eastAsia="宋体" w:cs="宋体"/>
          <w:color w:val="auto"/>
          <w:sz w:val="21"/>
          <w:szCs w:val="21"/>
          <w:highlight w:val="none"/>
        </w:rPr>
        <w:t>发生紧急抢修事故的，承包人在接到事故通知后，应立即到达事故现场抢修。</w:t>
      </w:r>
    </w:p>
    <w:p w14:paraId="0498BCFC">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3.</w:t>
      </w:r>
      <w:r>
        <w:rPr>
          <w:rFonts w:hint="eastAsia" w:ascii="宋体" w:hAnsi="宋体" w:eastAsia="宋体" w:cs="宋体"/>
          <w:color w:val="auto"/>
          <w:sz w:val="21"/>
          <w:szCs w:val="21"/>
          <w:highlight w:val="none"/>
        </w:rPr>
        <w:t>对于涉及结构安全的质量问题，应当按照《房屋建筑工程质量保修办法》的规定，立即向当地建设行政主管部门报告，采取安全防范措施；由原设计单位或者具有相应资质等级的设计单位提出保修方案</w:t>
      </w:r>
      <w:r>
        <w:rPr>
          <w:rFonts w:hint="eastAsia" w:ascii="宋体" w:hAnsi="宋体" w:cs="宋体"/>
          <w:color w:val="auto"/>
          <w:sz w:val="21"/>
          <w:szCs w:val="21"/>
          <w:highlight w:val="none"/>
          <w:lang w:eastAsia="zh-CN"/>
        </w:rPr>
        <w:t>，由</w:t>
      </w:r>
      <w:r>
        <w:rPr>
          <w:rFonts w:hint="eastAsia" w:ascii="宋体" w:hAnsi="宋体" w:eastAsia="宋体" w:cs="宋体"/>
          <w:color w:val="auto"/>
          <w:sz w:val="21"/>
          <w:szCs w:val="21"/>
          <w:highlight w:val="none"/>
        </w:rPr>
        <w:t>承包人实施保修。</w:t>
      </w:r>
    </w:p>
    <w:p w14:paraId="424B0245">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4.</w:t>
      </w:r>
      <w:r>
        <w:rPr>
          <w:rFonts w:hint="eastAsia" w:ascii="宋体" w:hAnsi="宋体" w:eastAsia="宋体" w:cs="宋体"/>
          <w:color w:val="auto"/>
          <w:sz w:val="21"/>
          <w:szCs w:val="21"/>
          <w:highlight w:val="none"/>
        </w:rPr>
        <w:t>质量保修完成后，由发包人组织验收。</w:t>
      </w:r>
    </w:p>
    <w:p w14:paraId="57899698">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五</w:t>
      </w:r>
      <w:r>
        <w:rPr>
          <w:rFonts w:hint="eastAsia" w:ascii="宋体" w:hAnsi="宋体" w:eastAsia="宋体" w:cs="宋体"/>
          <w:color w:val="auto"/>
          <w:sz w:val="21"/>
          <w:szCs w:val="21"/>
          <w:highlight w:val="none"/>
        </w:rPr>
        <w:t>、保修费用</w:t>
      </w:r>
    </w:p>
    <w:p w14:paraId="02D0959D">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保修费用由造成质量缺陷的责任方承担。</w:t>
      </w:r>
    </w:p>
    <w:p w14:paraId="2159218D">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六</w:t>
      </w:r>
      <w:r>
        <w:rPr>
          <w:rFonts w:hint="eastAsia" w:ascii="宋体" w:hAnsi="宋体" w:eastAsia="宋体" w:cs="宋体"/>
          <w:color w:val="auto"/>
          <w:sz w:val="21"/>
          <w:szCs w:val="21"/>
          <w:highlight w:val="none"/>
        </w:rPr>
        <w:t>、其他</w:t>
      </w:r>
    </w:p>
    <w:p w14:paraId="647ECD4A">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双方约定的其他工程质量保修事项</w:t>
      </w:r>
      <w:r>
        <w:rPr>
          <w:rFonts w:hint="eastAsia" w:ascii="宋体" w:hAnsi="宋体" w:eastAsia="宋体" w:cs="宋体"/>
          <w:color w:val="auto"/>
          <w:sz w:val="21"/>
          <w:szCs w:val="21"/>
          <w:highlight w:val="none"/>
          <w:lang w:eastAsia="zh-CN"/>
        </w:rPr>
        <w:t>：</w:t>
      </w:r>
    </w:p>
    <w:p w14:paraId="22C951D8">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工程质量保修书作为施工合同附件，由施工合同发包人、承包人双方在竣工验收前共同签署，作为施工合同附件，其有效期限至保修期满。</w:t>
      </w:r>
    </w:p>
    <w:p w14:paraId="18094046">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公章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承包人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公章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526A03E3">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                           法定代表人</w:t>
      </w:r>
    </w:p>
    <w:p w14:paraId="2A8D8CF8">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或其委托代理人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签字或盖章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或其委托代理人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签字或盖章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 </w:t>
      </w:r>
    </w:p>
    <w:p w14:paraId="37CFB4C5">
      <w:pPr>
        <w:keepNext w:val="0"/>
        <w:keepLines w:val="0"/>
        <w:pageBreakBefore w:val="0"/>
        <w:widowControl w:val="0"/>
        <w:kinsoku/>
        <w:wordWrap/>
        <w:overflowPunct/>
        <w:topLinePunct w:val="0"/>
        <w:autoSpaceDE/>
        <w:autoSpaceDN/>
        <w:bidi w:val="0"/>
        <w:adjustRightInd w:val="0"/>
        <w:snapToGrid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月  日                           年  月  日</w:t>
      </w:r>
    </w:p>
    <w:p w14:paraId="0AE05C28">
      <w:pPr>
        <w:pageBreakBefore w:val="0"/>
        <w:kinsoku/>
        <w:overflowPunct/>
        <w:topLinePunct w:val="0"/>
        <w:bidi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1"/>
          <w:szCs w:val="21"/>
          <w:highlight w:val="none"/>
        </w:rPr>
        <w:t>附件2：</w:t>
      </w:r>
    </w:p>
    <w:p w14:paraId="093678F9">
      <w:pPr>
        <w:pageBreakBefore w:val="0"/>
        <w:kinsoku/>
        <w:overflowPunct/>
        <w:topLinePunct w:val="0"/>
        <w:bidi w:val="0"/>
        <w:spacing w:line="38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建设工程廉政责任书</w:t>
      </w:r>
    </w:p>
    <w:p w14:paraId="3A74A3D7">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发包人（全称）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 （简称甲方）</w:t>
      </w:r>
    </w:p>
    <w:p w14:paraId="7F1BF094">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none"/>
          <w:lang w:val="en-US" w:eastAsia="zh-CN"/>
        </w:rPr>
        <w:t>承包人（全称）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（简称乙方）</w:t>
      </w:r>
    </w:p>
    <w:p w14:paraId="45165B5F">
      <w:pPr>
        <w:keepNext w:val="0"/>
        <w:keepLines w:val="0"/>
        <w:pageBreakBefore w:val="0"/>
        <w:widowControl w:val="0"/>
        <w:kinsoku/>
        <w:wordWrap/>
        <w:overflowPunct/>
        <w:topLinePunct w:val="0"/>
        <w:autoSpaceDE/>
        <w:autoSpaceDN/>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在建设过程中，为加强建设工程廉政建设，规范建设工程各项活动中发包</w:t>
      </w:r>
      <w:r>
        <w:rPr>
          <w:rFonts w:hint="eastAsia" w:ascii="宋体" w:hAnsi="宋体" w:eastAsia="宋体" w:cs="宋体"/>
          <w:color w:val="auto"/>
          <w:sz w:val="21"/>
          <w:szCs w:val="21"/>
          <w:highlight w:val="none"/>
          <w:lang w:eastAsia="zh-CN"/>
        </w:rPr>
        <w:t>人和</w:t>
      </w:r>
      <w:r>
        <w:rPr>
          <w:rFonts w:hint="eastAsia" w:ascii="宋体" w:hAnsi="宋体" w:eastAsia="宋体" w:cs="宋体"/>
          <w:color w:val="auto"/>
          <w:sz w:val="21"/>
          <w:szCs w:val="21"/>
          <w:highlight w:val="none"/>
        </w:rPr>
        <w:t>承包人双方的行为，防止谋取不正当利益的违法违纪现象的发生，保护国家、集体和当事人的合法权益，根据国家有关工程建设的法律法规和廉政建设的有关规定，订立本廉政责任书。</w:t>
      </w:r>
    </w:p>
    <w:p w14:paraId="5EC8B084">
      <w:pPr>
        <w:keepNext w:val="0"/>
        <w:keepLines w:val="0"/>
        <w:pageBreakBefore w:val="0"/>
        <w:widowControl w:val="0"/>
        <w:kinsoku/>
        <w:wordWrap/>
        <w:overflowPunct/>
        <w:topLinePunct w:val="0"/>
        <w:autoSpaceDE/>
        <w:autoSpaceDN/>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一、双方的责任</w:t>
      </w:r>
    </w:p>
    <w:p w14:paraId="5E2188C7">
      <w:pPr>
        <w:keepNext w:val="0"/>
        <w:keepLines w:val="0"/>
        <w:pageBreakBefore w:val="0"/>
        <w:widowControl w:val="0"/>
        <w:kinsoku/>
        <w:wordWrap/>
        <w:overflowPunct/>
        <w:topLinePunct w:val="0"/>
        <w:autoSpaceDE/>
        <w:autoSpaceDN/>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1.1应严格遵守国家关于建设工程的有关</w:t>
      </w:r>
      <w:r>
        <w:rPr>
          <w:rFonts w:hint="eastAsia" w:ascii="宋体" w:hAnsi="宋体" w:eastAsia="宋体" w:cs="宋体"/>
          <w:color w:val="auto"/>
          <w:sz w:val="21"/>
          <w:szCs w:val="21"/>
          <w:highlight w:val="none"/>
          <w:lang w:eastAsia="zh-CN"/>
        </w:rPr>
        <w:t>法律法规</w:t>
      </w:r>
      <w:r>
        <w:rPr>
          <w:rFonts w:hint="eastAsia" w:ascii="宋体" w:hAnsi="宋体" w:eastAsia="宋体" w:cs="宋体"/>
          <w:color w:val="auto"/>
          <w:sz w:val="21"/>
          <w:szCs w:val="21"/>
          <w:highlight w:val="none"/>
        </w:rPr>
        <w:t>，相关政策，以及廉政建设的各项规定。</w:t>
      </w:r>
    </w:p>
    <w:p w14:paraId="02672597">
      <w:pPr>
        <w:keepNext w:val="0"/>
        <w:keepLines w:val="0"/>
        <w:pageBreakBefore w:val="0"/>
        <w:widowControl w:val="0"/>
        <w:kinsoku/>
        <w:wordWrap/>
        <w:overflowPunct/>
        <w:topLinePunct w:val="0"/>
        <w:autoSpaceDE/>
        <w:autoSpaceDN/>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1.2严格执行建设工程合同文件，自觉按合同办事。</w:t>
      </w:r>
    </w:p>
    <w:p w14:paraId="547EE965">
      <w:pPr>
        <w:keepNext w:val="0"/>
        <w:keepLines w:val="0"/>
        <w:pageBreakBefore w:val="0"/>
        <w:widowControl w:val="0"/>
        <w:kinsoku/>
        <w:wordWrap/>
        <w:overflowPunct/>
        <w:topLinePunct w:val="0"/>
        <w:autoSpaceDE/>
        <w:autoSpaceDN/>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1.3各项活动必须坚持公开、公平、公正、诚信、透明的原则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除法律法规另有规定者外</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，不得为获取不正当的利益，损害国家、集体和对方利益，不得违反建设工程管理的规章制度。</w:t>
      </w:r>
    </w:p>
    <w:p w14:paraId="5FC35746">
      <w:pPr>
        <w:keepNext w:val="0"/>
        <w:keepLines w:val="0"/>
        <w:pageBreakBefore w:val="0"/>
        <w:widowControl w:val="0"/>
        <w:kinsoku/>
        <w:wordWrap/>
        <w:overflowPunct/>
        <w:topLinePunct w:val="0"/>
        <w:autoSpaceDE/>
        <w:autoSpaceDN/>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1.4发现对方在业务活动中有违规、违纪、违法行为的，应及时提醒对方，情节严重的，应向其上级主管部门或纪检监察、司法等有关机关举报。</w:t>
      </w:r>
    </w:p>
    <w:p w14:paraId="4210C1F8">
      <w:pPr>
        <w:keepNext w:val="0"/>
        <w:keepLines w:val="0"/>
        <w:pageBreakBefore w:val="0"/>
        <w:widowControl w:val="0"/>
        <w:kinsoku/>
        <w:wordWrap/>
        <w:overflowPunct/>
        <w:topLinePunct w:val="0"/>
        <w:autoSpaceDE/>
        <w:autoSpaceDN/>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二、发包人责任</w:t>
      </w:r>
    </w:p>
    <w:p w14:paraId="2AD0B695">
      <w:pPr>
        <w:keepNext w:val="0"/>
        <w:keepLines w:val="0"/>
        <w:pageBreakBefore w:val="0"/>
        <w:widowControl w:val="0"/>
        <w:kinsoku/>
        <w:wordWrap/>
        <w:overflowPunct/>
        <w:topLinePunct w:val="0"/>
        <w:autoSpaceDE/>
        <w:autoSpaceDN/>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发包人的领导和从事该建设工程项目的工作人员，在工程建设的事前、事中、事后应遵守以下规定：</w:t>
      </w:r>
    </w:p>
    <w:p w14:paraId="1730BD72">
      <w:pPr>
        <w:keepNext w:val="0"/>
        <w:keepLines w:val="0"/>
        <w:pageBreakBefore w:val="0"/>
        <w:widowControl w:val="0"/>
        <w:kinsoku/>
        <w:wordWrap/>
        <w:overflowPunct/>
        <w:topLinePunct w:val="0"/>
        <w:autoSpaceDE/>
        <w:autoSpaceDN/>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2.1不得向承包人和相关单位索要或接受回扣、礼金、有价证券、贵重物品和好处费、感谢费等。</w:t>
      </w:r>
    </w:p>
    <w:p w14:paraId="4F44CFC6">
      <w:pPr>
        <w:keepNext w:val="0"/>
        <w:keepLines w:val="0"/>
        <w:pageBreakBefore w:val="0"/>
        <w:widowControl w:val="0"/>
        <w:kinsoku/>
        <w:wordWrap/>
        <w:overflowPunct/>
        <w:topLinePunct w:val="0"/>
        <w:autoSpaceDE/>
        <w:autoSpaceDN/>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2.2不得在承包人和相关单位报销任何应由发包人或个人支付的费用。</w:t>
      </w:r>
    </w:p>
    <w:p w14:paraId="69DC243D">
      <w:pPr>
        <w:keepNext w:val="0"/>
        <w:keepLines w:val="0"/>
        <w:pageBreakBefore w:val="0"/>
        <w:widowControl w:val="0"/>
        <w:kinsoku/>
        <w:wordWrap/>
        <w:overflowPunct/>
        <w:topLinePunct w:val="0"/>
        <w:autoSpaceDE/>
        <w:autoSpaceDN/>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2.3不得要求、暗示或接受承包人和相关单位为个人装修住房、婚丧嫁娶、配偶子女的工作安排以及出国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、旅游等提供方便。</w:t>
      </w:r>
    </w:p>
    <w:p w14:paraId="61619CC4">
      <w:pPr>
        <w:keepNext w:val="0"/>
        <w:keepLines w:val="0"/>
        <w:pageBreakBefore w:val="0"/>
        <w:widowControl w:val="0"/>
        <w:kinsoku/>
        <w:wordWrap/>
        <w:overflowPunct/>
        <w:topLinePunct w:val="0"/>
        <w:autoSpaceDE/>
        <w:autoSpaceDN/>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2.4不得参加有可能影响公正执行公务的承包人和相关单位的宴请、健身、娱乐等活动。</w:t>
      </w:r>
    </w:p>
    <w:p w14:paraId="35A3D23E">
      <w:pPr>
        <w:keepNext w:val="0"/>
        <w:keepLines w:val="0"/>
        <w:pageBreakBefore w:val="0"/>
        <w:widowControl w:val="0"/>
        <w:kinsoku/>
        <w:wordWrap/>
        <w:overflowPunct/>
        <w:topLinePunct w:val="0"/>
        <w:autoSpaceDE/>
        <w:autoSpaceDN/>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2.5不得向承包人和相关单位介绍或为配偶、子女、亲属参与同发包人工程建设管理合同有关的业务活动；不得以任何理由要求承包人和相关单位使用某种产品、材料和设备。</w:t>
      </w:r>
    </w:p>
    <w:p w14:paraId="404545B5">
      <w:pPr>
        <w:keepNext w:val="0"/>
        <w:keepLines w:val="0"/>
        <w:pageBreakBefore w:val="0"/>
        <w:widowControl w:val="0"/>
        <w:kinsoku/>
        <w:wordWrap/>
        <w:overflowPunct/>
        <w:topLinePunct w:val="0"/>
        <w:autoSpaceDE/>
        <w:autoSpaceDN/>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三、承包人责任</w:t>
      </w:r>
    </w:p>
    <w:p w14:paraId="7C6DDFA0">
      <w:pPr>
        <w:keepNext w:val="0"/>
        <w:keepLines w:val="0"/>
        <w:pageBreakBefore w:val="0"/>
        <w:widowControl w:val="0"/>
        <w:kinsoku/>
        <w:wordWrap/>
        <w:overflowPunct/>
        <w:topLinePunct w:val="0"/>
        <w:autoSpaceDE/>
        <w:autoSpaceDN/>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应与发包人保持正常的业务交往，按照有关法律法规和程序开展业务工作，严格执行工程建设的有关方针、政策，执行工程建设强制性标准，并遵守以下规定：</w:t>
      </w:r>
    </w:p>
    <w:p w14:paraId="2E93F1F9">
      <w:pPr>
        <w:keepNext w:val="0"/>
        <w:keepLines w:val="0"/>
        <w:pageBreakBefore w:val="0"/>
        <w:widowControl w:val="0"/>
        <w:kinsoku/>
        <w:wordWrap/>
        <w:overflowPunct/>
        <w:topLinePunct w:val="0"/>
        <w:autoSpaceDE/>
        <w:autoSpaceDN/>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3.1不得以任何理由向发包人及其工作人员索要、接受或赠送礼金、有价证券、贵重物品及回扣、好处费、感谢费等。</w:t>
      </w:r>
    </w:p>
    <w:p w14:paraId="314973C0">
      <w:pPr>
        <w:keepNext w:val="0"/>
        <w:keepLines w:val="0"/>
        <w:pageBreakBefore w:val="0"/>
        <w:widowControl w:val="0"/>
        <w:kinsoku/>
        <w:wordWrap/>
        <w:overflowPunct/>
        <w:topLinePunct w:val="0"/>
        <w:autoSpaceDE/>
        <w:autoSpaceDN/>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3.2不得以任何理由为发包人和相关单位报销应由对方或个人支付的费用。</w:t>
      </w:r>
    </w:p>
    <w:p w14:paraId="1D38CE8E">
      <w:pPr>
        <w:keepNext w:val="0"/>
        <w:keepLines w:val="0"/>
        <w:pageBreakBefore w:val="0"/>
        <w:widowControl w:val="0"/>
        <w:kinsoku/>
        <w:wordWrap/>
        <w:overflowPunct/>
        <w:topLinePunct w:val="0"/>
        <w:autoSpaceDE/>
        <w:autoSpaceDN/>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3.3不得接受或暗示为发包人、相关单位或个人装修住房、婚丧嫁娶、配偶子女的工作安排以及出国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、旅游等提供方便。</w:t>
      </w:r>
    </w:p>
    <w:p w14:paraId="2DFA3BE4">
      <w:pPr>
        <w:keepNext w:val="0"/>
        <w:keepLines w:val="0"/>
        <w:pageBreakBefore w:val="0"/>
        <w:widowControl w:val="0"/>
        <w:kinsoku/>
        <w:wordWrap/>
        <w:overflowPunct/>
        <w:topLinePunct w:val="0"/>
        <w:autoSpaceDE/>
        <w:autoSpaceDN/>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3.4不得以任何理由为发包人、相关单位或个人组织有可能影响公正执行公务的宴请、健身、娱乐等活动。</w:t>
      </w:r>
    </w:p>
    <w:p w14:paraId="5FA924FF">
      <w:pPr>
        <w:keepNext w:val="0"/>
        <w:keepLines w:val="0"/>
        <w:pageBreakBefore w:val="0"/>
        <w:widowControl w:val="0"/>
        <w:kinsoku/>
        <w:wordWrap/>
        <w:overflowPunct/>
        <w:topLinePunct w:val="0"/>
        <w:autoSpaceDE/>
        <w:autoSpaceDN/>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四、违约责任</w:t>
      </w:r>
    </w:p>
    <w:p w14:paraId="6D9A3720">
      <w:pPr>
        <w:keepNext w:val="0"/>
        <w:keepLines w:val="0"/>
        <w:pageBreakBefore w:val="0"/>
        <w:widowControl w:val="0"/>
        <w:kinsoku/>
        <w:wordWrap/>
        <w:overflowPunct/>
        <w:topLinePunct w:val="0"/>
        <w:autoSpaceDE/>
        <w:autoSpaceDN/>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4.1发包人工作人员有违反本责任书第一、二条责任行为的，依据有关</w:t>
      </w:r>
      <w:r>
        <w:rPr>
          <w:rFonts w:hint="eastAsia" w:ascii="宋体" w:hAnsi="宋体" w:eastAsia="宋体" w:cs="宋体"/>
          <w:color w:val="auto"/>
          <w:sz w:val="21"/>
          <w:szCs w:val="21"/>
          <w:highlight w:val="none"/>
          <w:lang w:eastAsia="zh-CN"/>
        </w:rPr>
        <w:t>法律法规</w:t>
      </w:r>
      <w:r>
        <w:rPr>
          <w:rFonts w:hint="eastAsia" w:ascii="宋体" w:hAnsi="宋体" w:eastAsia="宋体" w:cs="宋体"/>
          <w:color w:val="auto"/>
          <w:sz w:val="21"/>
          <w:szCs w:val="21"/>
          <w:highlight w:val="none"/>
        </w:rPr>
        <w:t>给予处理；涉嫌犯罪的，移交司法机关追究刑事责任；给承包人单位造成经济损失的，应予以赔偿。</w:t>
      </w:r>
    </w:p>
    <w:p w14:paraId="5494A16D">
      <w:pPr>
        <w:keepNext w:val="0"/>
        <w:keepLines w:val="0"/>
        <w:pageBreakBefore w:val="0"/>
        <w:widowControl w:val="0"/>
        <w:kinsoku/>
        <w:wordWrap/>
        <w:overflowPunct/>
        <w:topLinePunct w:val="0"/>
        <w:autoSpaceDE/>
        <w:autoSpaceDN/>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4.2承包人工作人员有违反本责任书第一、三条责任行为的，依据有关法律法规处理；涉嫌犯罪的，移交司法机关追究刑事责任；给发包人单位造成经济损失的，应予以赔偿。</w:t>
      </w:r>
    </w:p>
    <w:p w14:paraId="03A0C2D1">
      <w:pPr>
        <w:keepNext w:val="0"/>
        <w:keepLines w:val="0"/>
        <w:pageBreakBefore w:val="0"/>
        <w:widowControl w:val="0"/>
        <w:kinsoku/>
        <w:wordWrap/>
        <w:overflowPunct/>
        <w:topLinePunct w:val="0"/>
        <w:autoSpaceDE/>
        <w:autoSpaceDN/>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4.3本责任书作为建设工程合同的组成部分，与建设工程合同具有同等法律效力。经双方签署后立即生效。</w:t>
      </w:r>
    </w:p>
    <w:p w14:paraId="1951C83C">
      <w:pPr>
        <w:keepNext w:val="0"/>
        <w:keepLines w:val="0"/>
        <w:pageBreakBefore w:val="0"/>
        <w:widowControl w:val="0"/>
        <w:kinsoku/>
        <w:wordWrap/>
        <w:overflowPunct/>
        <w:topLinePunct w:val="0"/>
        <w:autoSpaceDE/>
        <w:autoSpaceDN/>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五、责任书有效期</w:t>
      </w:r>
    </w:p>
    <w:p w14:paraId="613CAAB5">
      <w:pPr>
        <w:keepNext w:val="0"/>
        <w:keepLines w:val="0"/>
        <w:pageBreakBefore w:val="0"/>
        <w:widowControl w:val="0"/>
        <w:kinsoku/>
        <w:wordWrap/>
        <w:overflowPunct/>
        <w:topLinePunct w:val="0"/>
        <w:autoSpaceDE/>
        <w:autoSpaceDN/>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本责任书的有效期为双方签署之日起至该工程项目竣工验收合格时止。</w:t>
      </w:r>
    </w:p>
    <w:p w14:paraId="46370C6C">
      <w:pPr>
        <w:keepNext w:val="0"/>
        <w:keepLines w:val="0"/>
        <w:pageBreakBefore w:val="0"/>
        <w:widowControl w:val="0"/>
        <w:kinsoku/>
        <w:wordWrap/>
        <w:overflowPunct/>
        <w:topLinePunct w:val="0"/>
        <w:autoSpaceDE/>
        <w:autoSpaceDN/>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六、责任书份数</w:t>
      </w:r>
    </w:p>
    <w:p w14:paraId="700B6DF7">
      <w:pPr>
        <w:keepNext w:val="0"/>
        <w:keepLines w:val="0"/>
        <w:pageBreakBefore w:val="0"/>
        <w:widowControl w:val="0"/>
        <w:kinsoku/>
        <w:wordWrap/>
        <w:overflowPunct/>
        <w:topLinePunct w:val="0"/>
        <w:autoSpaceDE/>
        <w:autoSpaceDN/>
        <w:bidi w:val="0"/>
        <w:adjustRightInd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本责任书一式四份，发包</w:t>
      </w:r>
      <w:r>
        <w:rPr>
          <w:rFonts w:hint="eastAsia" w:ascii="宋体" w:hAnsi="宋体" w:eastAsia="宋体" w:cs="宋体"/>
          <w:color w:val="auto"/>
          <w:sz w:val="21"/>
          <w:szCs w:val="21"/>
          <w:highlight w:val="none"/>
          <w:lang w:eastAsia="zh-CN"/>
        </w:rPr>
        <w:t>人和</w:t>
      </w:r>
      <w:r>
        <w:rPr>
          <w:rFonts w:hint="eastAsia" w:ascii="宋体" w:hAnsi="宋体" w:eastAsia="宋体" w:cs="宋体"/>
          <w:color w:val="auto"/>
          <w:sz w:val="21"/>
          <w:szCs w:val="21"/>
          <w:highlight w:val="none"/>
        </w:rPr>
        <w:t>承包人各执二份，具有同等效力。</w:t>
      </w:r>
    </w:p>
    <w:p w14:paraId="0AD82225">
      <w:pPr>
        <w:pStyle w:val="10"/>
        <w:keepNext w:val="0"/>
        <w:keepLines w:val="0"/>
        <w:pageBreakBefore w:val="0"/>
        <w:widowControl w:val="0"/>
        <w:kinsoku/>
        <w:wordWrap/>
        <w:overflowPunct/>
        <w:topLinePunct w:val="0"/>
        <w:autoSpaceDE/>
        <w:autoSpaceDN/>
        <w:bidi w:val="0"/>
        <w:spacing w:line="380" w:lineRule="exact"/>
        <w:ind w:left="0" w:leftChars="0" w:firstLine="360"/>
        <w:textAlignment w:val="auto"/>
        <w:rPr>
          <w:rFonts w:hint="eastAsia" w:ascii="宋体" w:hAnsi="宋体" w:eastAsia="宋体" w:cs="宋体"/>
          <w:color w:val="auto"/>
          <w:sz w:val="21"/>
          <w:szCs w:val="21"/>
          <w:highlight w:val="none"/>
        </w:rPr>
      </w:pPr>
    </w:p>
    <w:p w14:paraId="555A8B28">
      <w:pPr>
        <w:pStyle w:val="10"/>
        <w:keepNext w:val="0"/>
        <w:keepLines w:val="0"/>
        <w:pageBreakBefore w:val="0"/>
        <w:widowControl w:val="0"/>
        <w:kinsoku/>
        <w:wordWrap/>
        <w:overflowPunct/>
        <w:topLinePunct w:val="0"/>
        <w:autoSpaceDE/>
        <w:autoSpaceDN/>
        <w:bidi w:val="0"/>
        <w:spacing w:line="380" w:lineRule="exact"/>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                      承包人（公章）：</w:t>
      </w:r>
    </w:p>
    <w:p w14:paraId="6E9A1846">
      <w:pPr>
        <w:keepNext w:val="0"/>
        <w:keepLines w:val="0"/>
        <w:pageBreakBefore w:val="0"/>
        <w:widowControl w:val="0"/>
        <w:kinsoku/>
        <w:wordWrap/>
        <w:overflowPunct/>
        <w:topLinePunct w:val="0"/>
        <w:autoSpaceDE/>
        <w:autoSpaceDN/>
        <w:bidi w:val="0"/>
        <w:adjustRightInd w:val="0"/>
        <w:snapToGrid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                           法定代表人</w:t>
      </w:r>
    </w:p>
    <w:p w14:paraId="1CE73349">
      <w:pPr>
        <w:keepNext w:val="0"/>
        <w:keepLines w:val="0"/>
        <w:pageBreakBefore w:val="0"/>
        <w:widowControl w:val="0"/>
        <w:kinsoku/>
        <w:wordWrap/>
        <w:overflowPunct/>
        <w:topLinePunct w:val="0"/>
        <w:autoSpaceDE/>
        <w:autoSpaceDN/>
        <w:bidi w:val="0"/>
        <w:spacing w:line="38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或其委托代理人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签字或盖章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或其委托代理人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签字或盖章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 </w:t>
      </w:r>
    </w:p>
    <w:p w14:paraId="6EBD45A5">
      <w:pPr>
        <w:keepNext w:val="0"/>
        <w:keepLines w:val="0"/>
        <w:pageBreakBefore w:val="0"/>
        <w:widowControl w:val="0"/>
        <w:kinsoku/>
        <w:wordWrap/>
        <w:overflowPunct/>
        <w:topLinePunct w:val="0"/>
        <w:autoSpaceDE/>
        <w:autoSpaceDN/>
        <w:bidi w:val="0"/>
        <w:spacing w:line="380" w:lineRule="exact"/>
        <w:ind w:left="0" w:leftChars="0"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月      日                    年    月    日</w:t>
      </w:r>
    </w:p>
    <w:p w14:paraId="209749D5">
      <w:pPr>
        <w:pageBreakBefore w:val="0"/>
        <w:kinsoku/>
        <w:overflowPunct/>
        <w:topLinePunct w:val="0"/>
        <w:bidi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76F3F70A">
      <w:pPr>
        <w:pageBreakBefore w:val="0"/>
        <w:kinsoku/>
        <w:overflowPunct/>
        <w:topLinePunct w:val="0"/>
        <w:bidi w:val="0"/>
        <w:spacing w:line="380" w:lineRule="exact"/>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附件3</w:t>
      </w:r>
    </w:p>
    <w:p w14:paraId="64DB66FD">
      <w:pPr>
        <w:pageBreakBefore w:val="0"/>
        <w:kinsoku/>
        <w:overflowPunct/>
        <w:topLinePunct w:val="0"/>
        <w:bidi w:val="0"/>
        <w:spacing w:line="38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建设工程承发包安全管理协议</w:t>
      </w:r>
    </w:p>
    <w:p w14:paraId="114F195A">
      <w:pPr>
        <w:pageBreakBefore w:val="0"/>
        <w:kinsoku/>
        <w:overflowPunct/>
        <w:topLinePunct w:val="0"/>
        <w:bidi w:val="0"/>
        <w:spacing w:line="380" w:lineRule="exact"/>
        <w:ind w:firstLine="1897" w:firstLineChars="900"/>
        <w:rPr>
          <w:rFonts w:hint="eastAsia" w:ascii="宋体" w:hAnsi="宋体" w:eastAsia="宋体" w:cs="宋体"/>
          <w:b/>
          <w:bCs/>
          <w:color w:val="auto"/>
          <w:sz w:val="21"/>
          <w:szCs w:val="21"/>
          <w:highlight w:val="none"/>
          <w:lang w:val="en-US" w:eastAsia="zh-CN"/>
        </w:rPr>
      </w:pPr>
    </w:p>
    <w:p w14:paraId="6C0307B3">
      <w:pPr>
        <w:pageBreakBefore w:val="0"/>
        <w:kinsoku/>
        <w:overflowPunct/>
        <w:topLinePunct w:val="0"/>
        <w:bidi w:val="0"/>
        <w:spacing w:line="380" w:lineRule="exact"/>
        <w:ind w:firstLine="422" w:firstLineChars="20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发包人（全称）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lang w:val="en-US" w:eastAsia="zh-CN"/>
        </w:rPr>
        <w:t>（简称甲方）</w:t>
      </w:r>
    </w:p>
    <w:p w14:paraId="504FB2A8">
      <w:pPr>
        <w:pageBreakBefore w:val="0"/>
        <w:kinsoku/>
        <w:overflowPunct/>
        <w:topLinePunct w:val="0"/>
        <w:bidi w:val="0"/>
        <w:spacing w:line="380" w:lineRule="exact"/>
        <w:ind w:firstLine="422"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承包人（全称）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lang w:val="en-US" w:eastAsia="zh-CN"/>
        </w:rPr>
        <w:t>（简称乙方）</w:t>
      </w:r>
    </w:p>
    <w:p w14:paraId="47FE6A26">
      <w:pPr>
        <w:keepNext w:val="0"/>
        <w:keepLines w:val="0"/>
        <w:pageBreakBefore w:val="0"/>
        <w:widowControl w:val="0"/>
        <w:kinsoku/>
        <w:wordWrap/>
        <w:overflowPunct/>
        <w:topLinePunct w:val="0"/>
        <w:autoSpaceDE/>
        <w:autoSpaceDN/>
        <w:bidi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将本工程项目发包给乙方施工，为贯彻“安全第一、预防为主”的方针，根据《江苏省工程安全管理暂行规定》和国家有关法规，明确双方的安全生产责任，确保施工安全，双方在签订建筑安装工程合同的同时，签订本协议。</w:t>
      </w:r>
    </w:p>
    <w:p w14:paraId="3B11947C">
      <w:pPr>
        <w:keepNext w:val="0"/>
        <w:keepLines w:val="0"/>
        <w:pageBreakBefore w:val="0"/>
        <w:widowControl w:val="0"/>
        <w:kinsoku/>
        <w:wordWrap/>
        <w:overflowPunct/>
        <w:topLinePunct w:val="0"/>
        <w:autoSpaceDE/>
        <w:autoSpaceDN/>
        <w:bidi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一、承包施工项目</w:t>
      </w:r>
    </w:p>
    <w:p w14:paraId="5C8F6321">
      <w:pPr>
        <w:keepNext w:val="0"/>
        <w:keepLines w:val="0"/>
        <w:pageBreakBefore w:val="0"/>
        <w:widowControl w:val="0"/>
        <w:kinsoku/>
        <w:wordWrap/>
        <w:overflowPunct/>
        <w:topLinePunct w:val="0"/>
        <w:autoSpaceDE/>
        <w:autoSpaceDN/>
        <w:bidi w:val="0"/>
        <w:spacing w:line="380" w:lineRule="exact"/>
        <w:ind w:firstLine="420" w:firstLineChars="200"/>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工程名称：</w:t>
      </w:r>
      <w:r>
        <w:rPr>
          <w:rFonts w:hint="eastAsia" w:ascii="宋体" w:hAnsi="宋体" w:eastAsia="宋体" w:cs="宋体"/>
          <w:color w:val="auto"/>
          <w:sz w:val="21"/>
          <w:szCs w:val="21"/>
          <w:highlight w:val="none"/>
          <w:u w:val="single"/>
          <w:lang w:val="en-US" w:eastAsia="zh-CN"/>
        </w:rPr>
        <w:t xml:space="preserve">                </w:t>
      </w:r>
    </w:p>
    <w:p w14:paraId="44A09298">
      <w:pPr>
        <w:keepNext w:val="0"/>
        <w:keepLines w:val="0"/>
        <w:pageBreakBefore w:val="0"/>
        <w:widowControl w:val="0"/>
        <w:kinsoku/>
        <w:wordWrap/>
        <w:overflowPunct/>
        <w:topLinePunct w:val="0"/>
        <w:autoSpaceDE/>
        <w:autoSpaceDN/>
        <w:bidi w:val="0"/>
        <w:spacing w:line="380" w:lineRule="exact"/>
        <w:ind w:firstLine="420" w:firstLineChars="200"/>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工程地址：</w:t>
      </w:r>
      <w:r>
        <w:rPr>
          <w:rFonts w:hint="eastAsia" w:ascii="宋体" w:hAnsi="宋体" w:eastAsia="宋体" w:cs="宋体"/>
          <w:color w:val="auto"/>
          <w:sz w:val="21"/>
          <w:szCs w:val="21"/>
          <w:highlight w:val="none"/>
          <w:u w:val="single"/>
          <w:lang w:val="en-US" w:eastAsia="zh-CN"/>
        </w:rPr>
        <w:t xml:space="preserve">                </w:t>
      </w:r>
    </w:p>
    <w:p w14:paraId="5BB9E54B">
      <w:pPr>
        <w:keepNext w:val="0"/>
        <w:keepLines w:val="0"/>
        <w:pageBreakBefore w:val="0"/>
        <w:widowControl w:val="0"/>
        <w:kinsoku/>
        <w:wordWrap/>
        <w:overflowPunct/>
        <w:topLinePunct w:val="0"/>
        <w:autoSpaceDE/>
        <w:autoSpaceDN/>
        <w:bidi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二、工程项目施工期限</w:t>
      </w:r>
    </w:p>
    <w:p w14:paraId="54F934E8">
      <w:pPr>
        <w:keepNext w:val="0"/>
        <w:keepLines w:val="0"/>
        <w:pageBreakBefore w:val="0"/>
        <w:widowControl w:val="0"/>
        <w:kinsoku/>
        <w:wordWrap/>
        <w:overflowPunct/>
        <w:topLinePunct w:val="0"/>
        <w:autoSpaceDE/>
        <w:autoSpaceDN/>
        <w:bidi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按照甲乙双方合同协议书</w:t>
      </w:r>
    </w:p>
    <w:p w14:paraId="56FFDE62">
      <w:pPr>
        <w:keepNext w:val="0"/>
        <w:keepLines w:val="0"/>
        <w:pageBreakBefore w:val="0"/>
        <w:widowControl w:val="0"/>
        <w:kinsoku/>
        <w:wordWrap/>
        <w:overflowPunct/>
        <w:topLinePunct w:val="0"/>
        <w:autoSpaceDE/>
        <w:autoSpaceDN/>
        <w:bidi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三、协议内容</w:t>
      </w:r>
    </w:p>
    <w:p w14:paraId="206040E0">
      <w:pPr>
        <w:keepNext w:val="0"/>
        <w:keepLines w:val="0"/>
        <w:pageBreakBefore w:val="0"/>
        <w:widowControl w:val="0"/>
        <w:kinsoku/>
        <w:wordWrap/>
        <w:overflowPunct/>
        <w:topLinePunct w:val="0"/>
        <w:autoSpaceDE/>
        <w:autoSpaceDN/>
        <w:bidi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1.</w:t>
      </w:r>
      <w:r>
        <w:rPr>
          <w:rFonts w:hint="eastAsia" w:ascii="宋体" w:hAnsi="宋体" w:eastAsia="宋体" w:cs="宋体"/>
          <w:color w:val="auto"/>
          <w:sz w:val="21"/>
          <w:szCs w:val="21"/>
          <w:highlight w:val="none"/>
        </w:rPr>
        <w:t>乙方必须认真贯彻国家、江苏省和上级劳动保护、安全生产主管部门颁发的有关安全生产、消防工作的方针、政策、严格执行有关劳动保护法规、条例、规定。</w:t>
      </w:r>
    </w:p>
    <w:p w14:paraId="3C388A4B">
      <w:pPr>
        <w:keepNext w:val="0"/>
        <w:keepLines w:val="0"/>
        <w:pageBreakBefore w:val="0"/>
        <w:widowControl w:val="0"/>
        <w:kinsoku/>
        <w:wordWrap/>
        <w:overflowPunct/>
        <w:topLinePunct w:val="0"/>
        <w:autoSpaceDE/>
        <w:autoSpaceDN/>
        <w:bidi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2.</w:t>
      </w:r>
      <w:r>
        <w:rPr>
          <w:rFonts w:hint="eastAsia" w:ascii="宋体" w:hAnsi="宋体" w:eastAsia="宋体" w:cs="宋体"/>
          <w:color w:val="auto"/>
          <w:sz w:val="21"/>
          <w:szCs w:val="21"/>
          <w:highlight w:val="none"/>
        </w:rPr>
        <w:t>乙方应有安全管理组织体制，包括抓安全生产的领导，各级专职和兼职的安全干部，应有各工种的安全操作规程，特种作业人员的验证考核制度及各级安全生产岗位责任制和定期安全检查制度，安全教育制度等。</w:t>
      </w:r>
    </w:p>
    <w:p w14:paraId="6CEF5D47">
      <w:pPr>
        <w:keepNext w:val="0"/>
        <w:keepLines w:val="0"/>
        <w:pageBreakBefore w:val="0"/>
        <w:widowControl w:val="0"/>
        <w:kinsoku/>
        <w:wordWrap/>
        <w:overflowPunct/>
        <w:topLinePunct w:val="0"/>
        <w:autoSpaceDE/>
        <w:autoSpaceDN/>
        <w:bidi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3.</w:t>
      </w:r>
      <w:r>
        <w:rPr>
          <w:rFonts w:hint="eastAsia" w:ascii="宋体" w:hAnsi="宋体" w:eastAsia="宋体" w:cs="宋体"/>
          <w:color w:val="auto"/>
          <w:sz w:val="21"/>
          <w:szCs w:val="21"/>
          <w:highlight w:val="none"/>
        </w:rPr>
        <w:t>乙方在施工前要认真</w:t>
      </w:r>
      <w:r>
        <w:rPr>
          <w:rFonts w:hint="eastAsia" w:ascii="宋体" w:hAnsi="宋体" w:eastAsia="宋体" w:cs="宋体"/>
          <w:color w:val="auto"/>
          <w:sz w:val="21"/>
          <w:szCs w:val="21"/>
          <w:highlight w:val="none"/>
          <w:lang w:eastAsia="zh-CN"/>
        </w:rPr>
        <w:t>勘查现场</w:t>
      </w:r>
      <w:r>
        <w:rPr>
          <w:rFonts w:hint="eastAsia" w:ascii="宋体" w:hAnsi="宋体" w:eastAsia="宋体" w:cs="宋体"/>
          <w:color w:val="auto"/>
          <w:sz w:val="21"/>
          <w:szCs w:val="21"/>
          <w:highlight w:val="none"/>
        </w:rPr>
        <w:t>，进场后首先必须做好施工现场围护，防止闲杂人员进入施工现场，发生安全事故。</w:t>
      </w:r>
    </w:p>
    <w:p w14:paraId="294359C5">
      <w:pPr>
        <w:keepNext w:val="0"/>
        <w:keepLines w:val="0"/>
        <w:pageBreakBefore w:val="0"/>
        <w:widowControl w:val="0"/>
        <w:kinsoku/>
        <w:wordWrap/>
        <w:overflowPunct/>
        <w:topLinePunct w:val="0"/>
        <w:autoSpaceDE/>
        <w:autoSpaceDN/>
        <w:bidi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4.</w:t>
      </w:r>
      <w:r>
        <w:rPr>
          <w:rFonts w:hint="eastAsia" w:ascii="宋体" w:hAnsi="宋体" w:eastAsia="宋体" w:cs="宋体"/>
          <w:color w:val="auto"/>
          <w:sz w:val="21"/>
          <w:szCs w:val="21"/>
          <w:highlight w:val="none"/>
        </w:rPr>
        <w:t>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p>
    <w:p w14:paraId="25DA681C">
      <w:pPr>
        <w:keepNext w:val="0"/>
        <w:keepLines w:val="0"/>
        <w:pageBreakBefore w:val="0"/>
        <w:widowControl w:val="0"/>
        <w:kinsoku/>
        <w:wordWrap/>
        <w:overflowPunct/>
        <w:topLinePunct w:val="0"/>
        <w:autoSpaceDE/>
        <w:autoSpaceDN/>
        <w:bidi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5.</w:t>
      </w:r>
      <w:r>
        <w:rPr>
          <w:rFonts w:hint="eastAsia" w:ascii="宋体" w:hAnsi="宋体" w:eastAsia="宋体" w:cs="宋体"/>
          <w:color w:val="auto"/>
          <w:sz w:val="21"/>
          <w:szCs w:val="21"/>
          <w:highlight w:val="none"/>
        </w:rPr>
        <w:t>甲乙双方的有关领导必须认真对本单位职工进行安全生产制度及安全技术知识教育，增强</w:t>
      </w:r>
      <w:r>
        <w:rPr>
          <w:rFonts w:hint="eastAsia" w:ascii="宋体" w:hAnsi="宋体" w:eastAsia="宋体" w:cs="宋体"/>
          <w:color w:val="auto"/>
          <w:sz w:val="21"/>
          <w:szCs w:val="21"/>
          <w:highlight w:val="none"/>
          <w:lang w:eastAsia="zh-CN"/>
        </w:rPr>
        <w:t>法治观念</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增强</w:t>
      </w:r>
      <w:r>
        <w:rPr>
          <w:rFonts w:hint="eastAsia" w:ascii="宋体" w:hAnsi="宋体" w:eastAsia="宋体" w:cs="宋体"/>
          <w:color w:val="auto"/>
          <w:sz w:val="21"/>
          <w:szCs w:val="21"/>
          <w:highlight w:val="none"/>
        </w:rPr>
        <w:t>职工的安全生产思想意识和自我</w:t>
      </w:r>
      <w:r>
        <w:rPr>
          <w:rFonts w:hint="eastAsia" w:ascii="宋体" w:hAnsi="宋体" w:cs="宋体"/>
          <w:color w:val="auto"/>
          <w:sz w:val="21"/>
          <w:szCs w:val="21"/>
          <w:highlight w:val="none"/>
          <w:lang w:eastAsia="zh-CN"/>
        </w:rPr>
        <w:t>保护</w:t>
      </w:r>
      <w:r>
        <w:rPr>
          <w:rFonts w:hint="eastAsia" w:ascii="宋体" w:hAnsi="宋体" w:eastAsia="宋体" w:cs="宋体"/>
          <w:color w:val="auto"/>
          <w:sz w:val="21"/>
          <w:szCs w:val="21"/>
          <w:highlight w:val="none"/>
        </w:rPr>
        <w:t>能力，督促职工自觉遵守安全生产纪律、制度和法规。</w:t>
      </w:r>
    </w:p>
    <w:p w14:paraId="47021BCC">
      <w:pPr>
        <w:keepNext w:val="0"/>
        <w:keepLines w:val="0"/>
        <w:pageBreakBefore w:val="0"/>
        <w:widowControl w:val="0"/>
        <w:kinsoku/>
        <w:wordWrap/>
        <w:overflowPunct/>
        <w:topLinePunct w:val="0"/>
        <w:autoSpaceDE/>
        <w:autoSpaceDN/>
        <w:bidi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6.</w:t>
      </w:r>
      <w:r>
        <w:rPr>
          <w:rFonts w:hint="eastAsia" w:ascii="宋体" w:hAnsi="宋体" w:eastAsia="宋体" w:cs="宋体"/>
          <w:color w:val="auto"/>
          <w:sz w:val="21"/>
          <w:szCs w:val="21"/>
          <w:highlight w:val="none"/>
        </w:rPr>
        <w:t>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p>
    <w:p w14:paraId="20D88450">
      <w:pPr>
        <w:keepNext w:val="0"/>
        <w:keepLines w:val="0"/>
        <w:pageBreakBefore w:val="0"/>
        <w:widowControl w:val="0"/>
        <w:kinsoku/>
        <w:wordWrap/>
        <w:overflowPunct/>
        <w:topLinePunct w:val="0"/>
        <w:autoSpaceDE/>
        <w:autoSpaceDN/>
        <w:bidi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7.</w:t>
      </w:r>
      <w:r>
        <w:rPr>
          <w:rFonts w:hint="eastAsia" w:ascii="宋体" w:hAnsi="宋体" w:eastAsia="宋体" w:cs="宋体"/>
          <w:color w:val="auto"/>
          <w:sz w:val="21"/>
          <w:szCs w:val="21"/>
          <w:highlight w:val="none"/>
        </w:rPr>
        <w:t>根据工程项目内容、特点，甲乙双方应做好安全技术交底，并有交底的书面材料。</w:t>
      </w:r>
    </w:p>
    <w:p w14:paraId="41C0D092">
      <w:pPr>
        <w:keepNext w:val="0"/>
        <w:keepLines w:val="0"/>
        <w:pageBreakBefore w:val="0"/>
        <w:widowControl w:val="0"/>
        <w:kinsoku/>
        <w:wordWrap/>
        <w:overflowPunct/>
        <w:topLinePunct w:val="0"/>
        <w:autoSpaceDE/>
        <w:autoSpaceDN/>
        <w:bidi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8.</w:t>
      </w:r>
      <w:r>
        <w:rPr>
          <w:rFonts w:hint="eastAsia" w:ascii="宋体" w:hAnsi="宋体" w:eastAsia="宋体" w:cs="宋体"/>
          <w:color w:val="auto"/>
          <w:sz w:val="21"/>
          <w:szCs w:val="21"/>
          <w:highlight w:val="none"/>
        </w:rPr>
        <w:t>交底材料一式三份，由甲乙双方和监理各执一份。</w:t>
      </w:r>
    </w:p>
    <w:p w14:paraId="6EF83F4B">
      <w:pPr>
        <w:keepNext w:val="0"/>
        <w:keepLines w:val="0"/>
        <w:pageBreakBefore w:val="0"/>
        <w:widowControl w:val="0"/>
        <w:kinsoku/>
        <w:wordWrap/>
        <w:overflowPunct/>
        <w:topLinePunct w:val="0"/>
        <w:autoSpaceDE/>
        <w:autoSpaceDN/>
        <w:bidi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9.</w:t>
      </w:r>
      <w:r>
        <w:rPr>
          <w:rFonts w:hint="eastAsia" w:ascii="宋体" w:hAnsi="宋体" w:eastAsia="宋体" w:cs="宋体"/>
          <w:color w:val="auto"/>
          <w:sz w:val="21"/>
          <w:szCs w:val="21"/>
          <w:highlight w:val="none"/>
        </w:rPr>
        <w:t>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p>
    <w:p w14:paraId="025E4577">
      <w:pPr>
        <w:keepNext w:val="0"/>
        <w:keepLines w:val="0"/>
        <w:pageBreakBefore w:val="0"/>
        <w:widowControl w:val="0"/>
        <w:kinsoku/>
        <w:wordWrap/>
        <w:overflowPunct/>
        <w:topLinePunct w:val="0"/>
        <w:autoSpaceDE/>
        <w:autoSpaceDN/>
        <w:bidi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10.</w:t>
      </w:r>
      <w:r>
        <w:rPr>
          <w:rFonts w:hint="eastAsia" w:ascii="宋体" w:hAnsi="宋体" w:eastAsia="宋体" w:cs="宋体"/>
          <w:color w:val="auto"/>
          <w:sz w:val="21"/>
          <w:szCs w:val="21"/>
          <w:highlight w:val="none"/>
        </w:rPr>
        <w:t>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p>
    <w:p w14:paraId="5F8C261F">
      <w:pPr>
        <w:keepNext w:val="0"/>
        <w:keepLines w:val="0"/>
        <w:pageBreakBefore w:val="0"/>
        <w:widowControl w:val="0"/>
        <w:kinsoku/>
        <w:wordWrap/>
        <w:overflowPunct/>
        <w:topLinePunct w:val="0"/>
        <w:autoSpaceDE/>
        <w:autoSpaceDN/>
        <w:bidi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11.</w:t>
      </w:r>
      <w:r>
        <w:rPr>
          <w:rFonts w:hint="eastAsia" w:ascii="宋体" w:hAnsi="宋体" w:eastAsia="宋体" w:cs="宋体"/>
          <w:color w:val="auto"/>
          <w:sz w:val="21"/>
          <w:szCs w:val="21"/>
          <w:highlight w:val="none"/>
        </w:rPr>
        <w:t>在生产操作过程中的个人防护用品，由各方自理，甲乙双方都应督促施工现场人员自觉穿戴好防护用品。</w:t>
      </w:r>
    </w:p>
    <w:p w14:paraId="6641C06E">
      <w:pPr>
        <w:keepNext w:val="0"/>
        <w:keepLines w:val="0"/>
        <w:pageBreakBefore w:val="0"/>
        <w:widowControl w:val="0"/>
        <w:kinsoku/>
        <w:wordWrap/>
        <w:overflowPunct/>
        <w:topLinePunct w:val="0"/>
        <w:autoSpaceDE/>
        <w:autoSpaceDN/>
        <w:bidi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12.</w:t>
      </w:r>
      <w:r>
        <w:rPr>
          <w:rFonts w:hint="eastAsia" w:ascii="宋体" w:hAnsi="宋体" w:eastAsia="宋体" w:cs="宋体"/>
          <w:color w:val="auto"/>
          <w:sz w:val="21"/>
          <w:szCs w:val="21"/>
          <w:highlight w:val="none"/>
        </w:rPr>
        <w:t>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p>
    <w:p w14:paraId="240B050B">
      <w:pPr>
        <w:keepNext w:val="0"/>
        <w:keepLines w:val="0"/>
        <w:pageBreakBefore w:val="0"/>
        <w:widowControl w:val="0"/>
        <w:kinsoku/>
        <w:wordWrap/>
        <w:overflowPunct/>
        <w:topLinePunct w:val="0"/>
        <w:autoSpaceDE/>
        <w:autoSpaceDN/>
        <w:bidi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13.</w:t>
      </w:r>
      <w:r>
        <w:rPr>
          <w:rFonts w:hint="eastAsia" w:ascii="宋体" w:hAnsi="宋体" w:eastAsia="宋体" w:cs="宋体"/>
          <w:color w:val="auto"/>
          <w:sz w:val="21"/>
          <w:szCs w:val="21"/>
          <w:highlight w:val="none"/>
        </w:rPr>
        <w:t>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p>
    <w:p w14:paraId="713240F3">
      <w:pPr>
        <w:keepNext w:val="0"/>
        <w:keepLines w:val="0"/>
        <w:pageBreakBefore w:val="0"/>
        <w:widowControl w:val="0"/>
        <w:kinsoku/>
        <w:wordWrap/>
        <w:overflowPunct/>
        <w:topLinePunct w:val="0"/>
        <w:autoSpaceDE/>
        <w:autoSpaceDN/>
        <w:bidi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14.</w:t>
      </w:r>
      <w:r>
        <w:rPr>
          <w:rFonts w:hint="eastAsia" w:ascii="宋体" w:hAnsi="宋体" w:eastAsia="宋体" w:cs="宋体"/>
          <w:color w:val="auto"/>
          <w:sz w:val="21"/>
          <w:szCs w:val="21"/>
          <w:highlight w:val="none"/>
        </w:rPr>
        <w:t>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p>
    <w:p w14:paraId="120C6813">
      <w:pPr>
        <w:keepNext w:val="0"/>
        <w:keepLines w:val="0"/>
        <w:pageBreakBefore w:val="0"/>
        <w:widowControl w:val="0"/>
        <w:kinsoku/>
        <w:wordWrap/>
        <w:overflowPunct/>
        <w:topLinePunct w:val="0"/>
        <w:autoSpaceDE/>
        <w:autoSpaceDN/>
        <w:bidi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15.</w:t>
      </w:r>
      <w:r>
        <w:rPr>
          <w:rFonts w:hint="eastAsia" w:ascii="宋体" w:hAnsi="宋体" w:eastAsia="宋体" w:cs="宋体"/>
          <w:color w:val="auto"/>
          <w:sz w:val="21"/>
          <w:szCs w:val="21"/>
          <w:highlight w:val="none"/>
        </w:rPr>
        <w:t>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p>
    <w:p w14:paraId="5599C080">
      <w:pPr>
        <w:keepNext w:val="0"/>
        <w:keepLines w:val="0"/>
        <w:pageBreakBefore w:val="0"/>
        <w:widowControl w:val="0"/>
        <w:kinsoku/>
        <w:wordWrap/>
        <w:overflowPunct/>
        <w:topLinePunct w:val="0"/>
        <w:autoSpaceDE/>
        <w:autoSpaceDN/>
        <w:bidi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16.</w:t>
      </w:r>
      <w:r>
        <w:rPr>
          <w:rFonts w:hint="eastAsia" w:ascii="宋体" w:hAnsi="宋体" w:eastAsia="宋体" w:cs="宋体"/>
          <w:color w:val="auto"/>
          <w:sz w:val="21"/>
          <w:szCs w:val="21"/>
          <w:highlight w:val="none"/>
        </w:rPr>
        <w:t>乙方必须严格执行各类防火防爆制度，易燃易爆场所严禁吸烟及动用明火，消防器材不准挪作他用。电焊、</w:t>
      </w:r>
      <w:r>
        <w:rPr>
          <w:rFonts w:hint="eastAsia" w:ascii="宋体" w:hAnsi="宋体" w:cs="宋体"/>
          <w:color w:val="auto"/>
          <w:sz w:val="21"/>
          <w:szCs w:val="21"/>
          <w:highlight w:val="none"/>
          <w:lang w:eastAsia="zh-CN"/>
        </w:rPr>
        <w:t>切割</w:t>
      </w:r>
      <w:r>
        <w:rPr>
          <w:rFonts w:hint="eastAsia" w:ascii="宋体" w:hAnsi="宋体" w:eastAsia="宋体" w:cs="宋体"/>
          <w:color w:val="auto"/>
          <w:sz w:val="21"/>
          <w:szCs w:val="21"/>
          <w:highlight w:val="none"/>
        </w:rPr>
        <w:t>作业应按规定办理动火审批手续，严格遵守“十不烧”规定，严禁使用电炉。冬季施工必须采用明火加热的防冻措施时，应取得防火主管人员同意，落实防火，防中毒措施，并指派专人值班。</w:t>
      </w:r>
    </w:p>
    <w:p w14:paraId="5D872B76">
      <w:pPr>
        <w:keepNext w:val="0"/>
        <w:keepLines w:val="0"/>
        <w:pageBreakBefore w:val="0"/>
        <w:widowControl w:val="0"/>
        <w:kinsoku/>
        <w:wordWrap/>
        <w:overflowPunct/>
        <w:topLinePunct w:val="0"/>
        <w:autoSpaceDE/>
        <w:autoSpaceDN/>
        <w:bidi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17.</w:t>
      </w:r>
      <w:r>
        <w:rPr>
          <w:rFonts w:hint="eastAsia" w:ascii="宋体" w:hAnsi="宋体" w:eastAsia="宋体" w:cs="宋体"/>
          <w:color w:val="auto"/>
          <w:sz w:val="21"/>
          <w:szCs w:val="21"/>
          <w:highlight w:val="none"/>
        </w:rPr>
        <w:t>乙方需用甲方提供的电气设备，在使用前应先进行检测，并做好检测记录，如不符合安全规定的应及时整改，整改合格后</w:t>
      </w:r>
      <w:r>
        <w:rPr>
          <w:rFonts w:hint="eastAsia" w:ascii="宋体" w:hAnsi="宋体" w:eastAsia="宋体" w:cs="宋体"/>
          <w:color w:val="auto"/>
          <w:sz w:val="21"/>
          <w:szCs w:val="21"/>
          <w:highlight w:val="none"/>
          <w:lang w:eastAsia="zh-CN"/>
        </w:rPr>
        <w:t>方可</w:t>
      </w:r>
      <w:r>
        <w:rPr>
          <w:rFonts w:hint="eastAsia" w:ascii="宋体" w:hAnsi="宋体" w:eastAsia="宋体" w:cs="宋体"/>
          <w:color w:val="auto"/>
          <w:sz w:val="21"/>
          <w:szCs w:val="21"/>
          <w:highlight w:val="none"/>
        </w:rPr>
        <w:t>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p>
    <w:p w14:paraId="63DDA9A2">
      <w:pPr>
        <w:keepNext w:val="0"/>
        <w:keepLines w:val="0"/>
        <w:pageBreakBefore w:val="0"/>
        <w:widowControl w:val="0"/>
        <w:kinsoku/>
        <w:wordWrap/>
        <w:overflowPunct/>
        <w:topLinePunct w:val="0"/>
        <w:autoSpaceDE/>
        <w:autoSpaceDN/>
        <w:bidi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18.</w:t>
      </w:r>
      <w:r>
        <w:rPr>
          <w:rFonts w:hint="eastAsia" w:ascii="宋体" w:hAnsi="宋体" w:eastAsia="宋体" w:cs="宋体"/>
          <w:color w:val="auto"/>
          <w:sz w:val="21"/>
          <w:szCs w:val="21"/>
          <w:highlight w:val="none"/>
        </w:rPr>
        <w:t>乙方在施工中，应注意地下管线及高压架空线路的保护。甲方对地下管线和障碍物应详细交底，乙方应贯彻交底要求，如遇有情况，应及时向监理、甲方和有关部门联系，采取保护措施。</w:t>
      </w:r>
    </w:p>
    <w:p w14:paraId="7ABD19E5">
      <w:pPr>
        <w:keepNext w:val="0"/>
        <w:keepLines w:val="0"/>
        <w:pageBreakBefore w:val="0"/>
        <w:widowControl w:val="0"/>
        <w:kinsoku/>
        <w:wordWrap/>
        <w:overflowPunct/>
        <w:topLinePunct w:val="0"/>
        <w:autoSpaceDE/>
        <w:autoSpaceDN/>
        <w:bidi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19.</w:t>
      </w:r>
      <w:r>
        <w:rPr>
          <w:rFonts w:hint="eastAsia" w:ascii="宋体" w:hAnsi="宋体" w:eastAsia="宋体" w:cs="宋体"/>
          <w:color w:val="auto"/>
          <w:sz w:val="21"/>
          <w:szCs w:val="21"/>
          <w:highlight w:val="none"/>
        </w:rPr>
        <w:t>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p>
    <w:p w14:paraId="3308A4B7">
      <w:pPr>
        <w:keepNext w:val="0"/>
        <w:keepLines w:val="0"/>
        <w:pageBreakBefore w:val="0"/>
        <w:widowControl w:val="0"/>
        <w:kinsoku/>
        <w:wordWrap/>
        <w:overflowPunct/>
        <w:topLinePunct w:val="0"/>
        <w:autoSpaceDE/>
        <w:autoSpaceDN/>
        <w:bidi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20.</w:t>
      </w:r>
      <w:r>
        <w:rPr>
          <w:rFonts w:hint="eastAsia" w:ascii="宋体" w:hAnsi="宋体" w:eastAsia="宋体" w:cs="宋体"/>
          <w:color w:val="auto"/>
          <w:sz w:val="21"/>
          <w:szCs w:val="21"/>
          <w:highlight w:val="none"/>
        </w:rPr>
        <w:t>本协议经立协双方签字、盖章有效。作为合同正本的附件一式四份，甲、乙双方各执二份。</w:t>
      </w:r>
    </w:p>
    <w:p w14:paraId="7B03AA10">
      <w:pPr>
        <w:keepNext w:val="0"/>
        <w:keepLines w:val="0"/>
        <w:pageBreakBefore w:val="0"/>
        <w:widowControl w:val="0"/>
        <w:kinsoku/>
        <w:wordWrap/>
        <w:overflowPunct/>
        <w:topLinePunct w:val="0"/>
        <w:autoSpaceDE/>
        <w:autoSpaceDN/>
        <w:bidi w:val="0"/>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21.</w:t>
      </w:r>
      <w:r>
        <w:rPr>
          <w:rFonts w:hint="eastAsia" w:ascii="宋体" w:hAnsi="宋体" w:eastAsia="宋体" w:cs="宋体"/>
          <w:color w:val="auto"/>
          <w:sz w:val="21"/>
          <w:szCs w:val="21"/>
          <w:highlight w:val="none"/>
        </w:rPr>
        <w:t>本协议同工程合同正本同日生效，甲、乙双方必须严格执行，由于违反本协议而造成伤亡事故，由违约方承担一切责任。</w:t>
      </w:r>
    </w:p>
    <w:p w14:paraId="24A225D1">
      <w:pPr>
        <w:keepNext w:val="0"/>
        <w:keepLines w:val="0"/>
        <w:pageBreakBefore w:val="0"/>
        <w:widowControl w:val="0"/>
        <w:kinsoku/>
        <w:wordWrap/>
        <w:overflowPunct/>
        <w:topLinePunct w:val="0"/>
        <w:autoSpaceDE/>
        <w:autoSpaceDN/>
        <w:bidi w:val="0"/>
        <w:spacing w:line="380" w:lineRule="exact"/>
        <w:ind w:firstLine="403" w:firstLineChars="192"/>
        <w:textAlignment w:val="auto"/>
        <w:rPr>
          <w:rFonts w:hint="eastAsia" w:ascii="宋体" w:hAnsi="宋体" w:eastAsia="宋体" w:cs="宋体"/>
          <w:color w:val="auto"/>
          <w:sz w:val="21"/>
          <w:szCs w:val="21"/>
          <w:highlight w:val="none"/>
        </w:rPr>
      </w:pPr>
    </w:p>
    <w:p w14:paraId="7848E016">
      <w:pPr>
        <w:keepNext w:val="0"/>
        <w:keepLines w:val="0"/>
        <w:pageBreakBefore w:val="0"/>
        <w:widowControl w:val="0"/>
        <w:kinsoku/>
        <w:wordWrap/>
        <w:overflowPunct/>
        <w:topLinePunct w:val="0"/>
        <w:autoSpaceDE/>
        <w:autoSpaceDN/>
        <w:bidi w:val="0"/>
        <w:spacing w:line="380" w:lineRule="exact"/>
        <w:ind w:firstLine="403" w:firstLineChars="19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甲方（盖章）：                       乙方（盖章）：</w:t>
      </w:r>
    </w:p>
    <w:p w14:paraId="5DA6CF65">
      <w:pPr>
        <w:keepNext w:val="0"/>
        <w:keepLines w:val="0"/>
        <w:pageBreakBefore w:val="0"/>
        <w:widowControl w:val="0"/>
        <w:kinsoku/>
        <w:wordWrap/>
        <w:overflowPunct/>
        <w:topLinePunct w:val="0"/>
        <w:autoSpaceDE/>
        <w:autoSpaceDN/>
        <w:bidi w:val="0"/>
        <w:adjustRightInd w:val="0"/>
        <w:snapToGrid w:val="0"/>
        <w:spacing w:line="380" w:lineRule="exact"/>
        <w:ind w:firstLine="409" w:firstLineChars="19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                          法定代表人</w:t>
      </w:r>
    </w:p>
    <w:p w14:paraId="19235C12">
      <w:pPr>
        <w:keepNext w:val="0"/>
        <w:keepLines w:val="0"/>
        <w:pageBreakBefore w:val="0"/>
        <w:widowControl w:val="0"/>
        <w:kinsoku/>
        <w:wordWrap/>
        <w:overflowPunct/>
        <w:topLinePunct w:val="0"/>
        <w:autoSpaceDE/>
        <w:autoSpaceDN/>
        <w:bidi w:val="0"/>
        <w:spacing w:line="380" w:lineRule="exact"/>
        <w:ind w:firstLine="403" w:firstLineChars="19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或其委托代理人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签字或盖章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或其委托代理人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签字或盖章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4A0448A1">
      <w:pPr>
        <w:keepNext w:val="0"/>
        <w:keepLines w:val="0"/>
        <w:pageBreakBefore w:val="0"/>
        <w:widowControl w:val="0"/>
        <w:kinsoku/>
        <w:wordWrap/>
        <w:overflowPunct/>
        <w:topLinePunct w:val="0"/>
        <w:autoSpaceDE/>
        <w:autoSpaceDN/>
        <w:bidi w:val="0"/>
        <w:spacing w:line="380" w:lineRule="exact"/>
        <w:ind w:firstLine="403" w:firstLineChars="19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              日期：   年   月    日</w:t>
      </w:r>
    </w:p>
    <w:p w14:paraId="676E4CC6">
      <w:pPr>
        <w:pStyle w:val="6"/>
        <w:pageBreakBefore w:val="0"/>
        <w:kinsoku/>
        <w:overflowPunct/>
        <w:topLinePunct w:val="0"/>
        <w:bidi w:val="0"/>
        <w:spacing w:line="380" w:lineRule="exact"/>
        <w:rPr>
          <w:rFonts w:hint="eastAsia"/>
          <w:color w:val="auto"/>
          <w:sz w:val="24"/>
          <w:szCs w:val="24"/>
          <w:highlight w:val="none"/>
        </w:rPr>
      </w:pPr>
    </w:p>
    <w:p w14:paraId="36512627">
      <w:pPr>
        <w:pageBreakBefore w:val="0"/>
        <w:numPr>
          <w:ilvl w:val="0"/>
          <w:numId w:val="0"/>
        </w:numPr>
        <w:kinsoku/>
        <w:overflowPunct/>
        <w:topLinePunct w:val="0"/>
        <w:bidi w:val="0"/>
        <w:spacing w:line="380" w:lineRule="exact"/>
        <w:ind w:leftChars="0"/>
        <w:jc w:val="both"/>
        <w:rPr>
          <w:rFonts w:hint="eastAsia" w:ascii="宋体" w:hAnsi="宋体" w:eastAsia="宋体" w:cs="宋体"/>
          <w:b/>
          <w:bCs w:val="0"/>
          <w:color w:val="auto"/>
          <w:sz w:val="24"/>
          <w:szCs w:val="24"/>
          <w:highlight w:val="none"/>
        </w:rPr>
      </w:pPr>
    </w:p>
    <w:p w14:paraId="1CEE023E">
      <w:pPr>
        <w:rPr>
          <w:rFonts w:hint="eastAsia" w:hAnsi="宋体" w:cs="宋体"/>
          <w:b/>
          <w:color w:val="auto"/>
          <w:sz w:val="40"/>
          <w:szCs w:val="40"/>
          <w:highlight w:val="none"/>
          <w:lang w:val="en-US" w:eastAsia="zh-CN"/>
        </w:rPr>
      </w:pPr>
      <w:r>
        <w:rPr>
          <w:rFonts w:hint="eastAsia" w:hAnsi="宋体" w:cs="宋体"/>
          <w:b/>
          <w:color w:val="auto"/>
          <w:sz w:val="40"/>
          <w:szCs w:val="40"/>
          <w:highlight w:val="none"/>
          <w:lang w:val="en-US" w:eastAsia="zh-CN"/>
        </w:rPr>
        <w:br w:type="page"/>
      </w:r>
    </w:p>
    <w:p w14:paraId="5B4E3ECB">
      <w:pPr>
        <w:jc w:val="center"/>
        <w:rPr>
          <w:rFonts w:hint="eastAsia" w:ascii="宋体" w:hAnsi="宋体" w:eastAsia="宋体" w:cs="宋体"/>
          <w:b/>
          <w:color w:val="auto"/>
          <w:sz w:val="40"/>
          <w:szCs w:val="40"/>
          <w:highlight w:val="none"/>
          <w:lang w:eastAsia="zh-CN"/>
        </w:rPr>
      </w:pPr>
      <w:r>
        <w:rPr>
          <w:rFonts w:hint="eastAsia" w:hAnsi="宋体" w:cs="宋体"/>
          <w:b/>
          <w:color w:val="auto"/>
          <w:sz w:val="40"/>
          <w:szCs w:val="40"/>
          <w:highlight w:val="none"/>
          <w:lang w:val="en-US" w:eastAsia="zh-CN"/>
        </w:rPr>
        <w:t>第六章</w:t>
      </w:r>
    </w:p>
    <w:p w14:paraId="270B51B2">
      <w:pPr>
        <w:pStyle w:val="9"/>
        <w:pageBreakBefore w:val="0"/>
        <w:numPr>
          <w:ilvl w:val="0"/>
          <w:numId w:val="0"/>
        </w:numPr>
        <w:kinsoku/>
        <w:overflowPunct/>
        <w:topLinePunct w:val="0"/>
        <w:bidi w:val="0"/>
        <w:spacing w:line="380" w:lineRule="exact"/>
        <w:ind w:leftChars="0"/>
        <w:jc w:val="both"/>
        <w:rPr>
          <w:rFonts w:hint="eastAsia" w:ascii="宋体" w:hAnsi="宋体" w:eastAsia="宋体" w:cs="宋体"/>
          <w:b/>
          <w:color w:val="auto"/>
          <w:sz w:val="32"/>
          <w:szCs w:val="32"/>
          <w:highlight w:val="none"/>
        </w:rPr>
      </w:pPr>
    </w:p>
    <w:p w14:paraId="0FA9C452">
      <w:pPr>
        <w:pStyle w:val="9"/>
        <w:pageBreakBefore w:val="0"/>
        <w:numPr>
          <w:ilvl w:val="0"/>
          <w:numId w:val="0"/>
        </w:numPr>
        <w:kinsoku/>
        <w:overflowPunct/>
        <w:topLinePunct w:val="0"/>
        <w:bidi w:val="0"/>
        <w:spacing w:line="380" w:lineRule="exact"/>
        <w:ind w:leftChars="0"/>
        <w:jc w:val="both"/>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p>
    <w:p w14:paraId="2B850BBA">
      <w:pPr>
        <w:pStyle w:val="9"/>
        <w:pageBreakBefore w:val="0"/>
        <w:numPr>
          <w:ilvl w:val="0"/>
          <w:numId w:val="0"/>
        </w:numPr>
        <w:kinsoku/>
        <w:overflowPunct/>
        <w:topLinePunct w:val="0"/>
        <w:bidi w:val="0"/>
        <w:spacing w:line="380" w:lineRule="exact"/>
        <w:ind w:leftChars="0"/>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响  应  文  件</w:t>
      </w:r>
    </w:p>
    <w:p w14:paraId="18B9BE1E">
      <w:pPr>
        <w:pStyle w:val="9"/>
        <w:pageBreakBefore w:val="0"/>
        <w:kinsoku/>
        <w:overflowPunct/>
        <w:topLinePunct w:val="0"/>
        <w:bidi w:val="0"/>
        <w:spacing w:line="380" w:lineRule="exact"/>
        <w:rPr>
          <w:rFonts w:hint="eastAsia" w:ascii="仿宋" w:hAnsi="仿宋" w:eastAsia="仿宋" w:cs="仿宋"/>
          <w:color w:val="auto"/>
          <w:sz w:val="32"/>
          <w:highlight w:val="none"/>
        </w:rPr>
      </w:pPr>
    </w:p>
    <w:p w14:paraId="22288770">
      <w:pPr>
        <w:pStyle w:val="9"/>
        <w:pageBreakBefore w:val="0"/>
        <w:kinsoku/>
        <w:overflowPunct/>
        <w:topLinePunct w:val="0"/>
        <w:bidi w:val="0"/>
        <w:spacing w:line="380" w:lineRule="exact"/>
        <w:rPr>
          <w:rFonts w:hint="eastAsia" w:ascii="仿宋" w:hAnsi="仿宋" w:eastAsia="仿宋" w:cs="仿宋"/>
          <w:color w:val="auto"/>
          <w:sz w:val="32"/>
          <w:highlight w:val="none"/>
        </w:rPr>
      </w:pPr>
    </w:p>
    <w:p w14:paraId="1A268AF2">
      <w:pPr>
        <w:pageBreakBefore w:val="0"/>
        <w:kinsoku/>
        <w:overflowPunct/>
        <w:topLinePunct w:val="0"/>
        <w:bidi w:val="0"/>
        <w:spacing w:line="380" w:lineRule="exact"/>
        <w:jc w:val="cente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w:t>
      </w:r>
    </w:p>
    <w:p w14:paraId="05E69756">
      <w:pPr>
        <w:pageBreakBefore w:val="0"/>
        <w:kinsoku/>
        <w:overflowPunct/>
        <w:topLinePunct w:val="0"/>
        <w:bidi w:val="0"/>
        <w:spacing w:line="380" w:lineRule="exact"/>
        <w:jc w:val="cente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w:t>
      </w:r>
    </w:p>
    <w:p w14:paraId="6853F767">
      <w:pPr>
        <w:pageBreakBefore w:val="0"/>
        <w:kinsoku/>
        <w:overflowPunct/>
        <w:topLinePunct w:val="0"/>
        <w:bidi w:val="0"/>
        <w:spacing w:line="380" w:lineRule="exact"/>
        <w:jc w:val="cente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w:t>
      </w:r>
    </w:p>
    <w:p w14:paraId="311C5B4D">
      <w:pPr>
        <w:pageBreakBefore w:val="0"/>
        <w:kinsoku/>
        <w:overflowPunct/>
        <w:topLinePunct w:val="0"/>
        <w:bidi w:val="0"/>
        <w:spacing w:line="380" w:lineRule="exact"/>
        <w:jc w:val="cente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w:t>
      </w:r>
    </w:p>
    <w:p w14:paraId="6B61617B">
      <w:pPr>
        <w:pageBreakBefore w:val="0"/>
        <w:kinsoku/>
        <w:overflowPunct/>
        <w:topLinePunct w:val="0"/>
        <w:bidi w:val="0"/>
        <w:spacing w:line="380" w:lineRule="exact"/>
        <w:jc w:val="cente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项 目 名 称：               </w:t>
      </w:r>
    </w:p>
    <w:p w14:paraId="273A781C">
      <w:pPr>
        <w:pageBreakBefore w:val="0"/>
        <w:kinsoku/>
        <w:overflowPunct/>
        <w:topLinePunct w:val="0"/>
        <w:bidi w:val="0"/>
        <w:spacing w:line="380" w:lineRule="exact"/>
        <w:jc w:val="cente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项 目</w:t>
      </w:r>
      <w:r>
        <w:rPr>
          <w:rFonts w:hint="eastAsia" w:ascii="仿宋" w:hAnsi="仿宋" w:eastAsia="仿宋" w:cs="仿宋"/>
          <w:b/>
          <w:bCs/>
          <w:color w:val="auto"/>
          <w:sz w:val="30"/>
          <w:szCs w:val="30"/>
          <w:highlight w:val="none"/>
        </w:rPr>
        <w:t xml:space="preserve"> 编 号：               </w:t>
      </w:r>
    </w:p>
    <w:p w14:paraId="0DE6FE66">
      <w:pPr>
        <w:pageBreakBefore w:val="0"/>
        <w:kinsoku/>
        <w:overflowPunct/>
        <w:topLinePunct w:val="0"/>
        <w:bidi w:val="0"/>
        <w:spacing w:line="380" w:lineRule="exact"/>
        <w:ind w:firstLine="1506" w:firstLineChars="500"/>
        <w:jc w:val="both"/>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供应商名称 ：（加盖CA电子公章）</w:t>
      </w:r>
    </w:p>
    <w:p w14:paraId="715165FC">
      <w:pPr>
        <w:pageBreakBefore w:val="0"/>
        <w:kinsoku/>
        <w:overflowPunct/>
        <w:topLinePunct w:val="0"/>
        <w:bidi w:val="0"/>
        <w:spacing w:line="380" w:lineRule="exact"/>
        <w:jc w:val="cente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w:t>
      </w:r>
    </w:p>
    <w:p w14:paraId="4FD3C7F6">
      <w:pPr>
        <w:pageBreakBefore w:val="0"/>
        <w:kinsoku/>
        <w:overflowPunct/>
        <w:topLinePunct w:val="0"/>
        <w:bidi w:val="0"/>
        <w:spacing w:line="380" w:lineRule="exact"/>
        <w:jc w:val="cente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rPr>
        <w:t>日    期 ：               </w:t>
      </w:r>
    </w:p>
    <w:p w14:paraId="664D9295">
      <w:pPr>
        <w:pageBreakBefore w:val="0"/>
        <w:kinsoku/>
        <w:overflowPunct/>
        <w:topLinePunct w:val="0"/>
        <w:bidi w:val="0"/>
        <w:spacing w:line="380" w:lineRule="exact"/>
        <w:jc w:val="center"/>
        <w:rPr>
          <w:rFonts w:hint="eastAsia" w:ascii="仿宋" w:hAnsi="仿宋" w:eastAsia="仿宋" w:cs="仿宋"/>
          <w:color w:val="auto"/>
          <w:sz w:val="30"/>
          <w:szCs w:val="30"/>
          <w:highlight w:val="none"/>
        </w:rPr>
      </w:pPr>
    </w:p>
    <w:p w14:paraId="63F6B8C8">
      <w:pPr>
        <w:pStyle w:val="10"/>
        <w:pageBreakBefore w:val="0"/>
        <w:tabs>
          <w:tab w:val="left" w:pos="420"/>
        </w:tabs>
        <w:kinsoku/>
        <w:overflowPunct/>
        <w:topLinePunct w:val="0"/>
        <w:bidi w:val="0"/>
        <w:spacing w:line="380" w:lineRule="exact"/>
        <w:ind w:right="-2" w:firstLine="0"/>
        <w:rPr>
          <w:rFonts w:hint="eastAsia" w:ascii="仿宋" w:hAnsi="仿宋" w:eastAsia="仿宋" w:cs="仿宋"/>
          <w:b/>
          <w:bCs/>
          <w:color w:val="auto"/>
          <w:sz w:val="30"/>
          <w:szCs w:val="30"/>
          <w:highlight w:val="none"/>
        </w:rPr>
      </w:pPr>
    </w:p>
    <w:p w14:paraId="2DA8276D">
      <w:pPr>
        <w:pageBreakBefore w:val="0"/>
        <w:kinsoku/>
        <w:overflowPunct/>
        <w:topLinePunct w:val="0"/>
        <w:bidi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尊敬的供应商</w:t>
      </w:r>
      <w:r>
        <w:rPr>
          <w:rFonts w:hint="eastAsia" w:ascii="仿宋" w:hAnsi="仿宋" w:eastAsia="仿宋" w:cs="仿宋"/>
          <w:color w:val="auto"/>
          <w:sz w:val="28"/>
          <w:szCs w:val="28"/>
          <w:highlight w:val="none"/>
          <w:lang w:eastAsia="zh-CN"/>
        </w:rPr>
        <w:t>：</w:t>
      </w:r>
    </w:p>
    <w:p w14:paraId="6B140F0E">
      <w:pPr>
        <w:pageBreakBefore w:val="0"/>
        <w:kinsoku/>
        <w:overflowPunct/>
        <w:topLinePunct w:val="0"/>
        <w:bidi w:val="0"/>
        <w:spacing w:line="38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请按照以下文件的格式要求、内容、顺序制作响应文件。</w:t>
      </w:r>
    </w:p>
    <w:p w14:paraId="082585DE">
      <w:pPr>
        <w:pageBreakBefore w:val="0"/>
        <w:kinsoku/>
        <w:overflowPunct/>
        <w:topLinePunct w:val="0"/>
        <w:bidi w:val="0"/>
        <w:spacing w:line="380" w:lineRule="exact"/>
        <w:ind w:firstLine="562" w:firstLineChars="200"/>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磋商文件格式中所有要求签字和盖章的部分，电子响应文件中只需加盖电子签章。</w:t>
      </w:r>
    </w:p>
    <w:p w14:paraId="34D5C812">
      <w:pPr>
        <w:pStyle w:val="10"/>
        <w:pageBreakBefore w:val="0"/>
        <w:tabs>
          <w:tab w:val="left" w:pos="420"/>
        </w:tabs>
        <w:kinsoku/>
        <w:overflowPunct/>
        <w:topLinePunct w:val="0"/>
        <w:bidi w:val="0"/>
        <w:spacing w:line="380" w:lineRule="exact"/>
        <w:ind w:right="-2" w:firstLine="0"/>
        <w:jc w:val="center"/>
        <w:rPr>
          <w:rFonts w:hint="eastAsia" w:ascii="仿宋" w:hAnsi="仿宋" w:eastAsia="仿宋" w:cs="仿宋"/>
          <w:b/>
          <w:bCs/>
          <w:color w:val="auto"/>
          <w:szCs w:val="28"/>
          <w:highlight w:val="none"/>
        </w:rPr>
      </w:pPr>
    </w:p>
    <w:p w14:paraId="73EBCE92">
      <w:pPr>
        <w:pageBreakBefore w:val="0"/>
        <w:kinsoku/>
        <w:overflowPunct/>
        <w:topLinePunct w:val="0"/>
        <w:bidi w:val="0"/>
        <w:spacing w:line="38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r>
    </w:p>
    <w:p w14:paraId="4D7923AA">
      <w:pPr>
        <w:pageBreakBefore w:val="0"/>
        <w:kinsoku/>
        <w:overflowPunct/>
        <w:topLinePunct w:val="0"/>
        <w:bidi w:val="0"/>
        <w:spacing w:line="380" w:lineRule="exact"/>
        <w:ind w:firstLine="7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6"/>
          <w:szCs w:val="36"/>
          <w:highlight w:val="none"/>
        </w:rPr>
        <w:t>一、磋商函</w:t>
      </w:r>
    </w:p>
    <w:p w14:paraId="6FCDE74C">
      <w:pPr>
        <w:pStyle w:val="40"/>
        <w:keepNext w:val="0"/>
        <w:keepLines w:val="0"/>
        <w:pageBreakBefore w:val="0"/>
        <w:widowControl w:val="0"/>
        <w:kinsoku/>
        <w:wordWrap/>
        <w:overflowPunct/>
        <w:topLinePunct w:val="0"/>
        <w:autoSpaceDE/>
        <w:autoSpaceDN/>
        <w:bidi w:val="0"/>
        <w:snapToGrid/>
        <w:spacing w:before="0" w:after="0" w:line="380" w:lineRule="exact"/>
        <w:ind w:firstLine="56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w:t>
      </w:r>
    </w:p>
    <w:p w14:paraId="7D46446D">
      <w:pPr>
        <w:pStyle w:val="40"/>
        <w:keepNext w:val="0"/>
        <w:keepLines w:val="0"/>
        <w:pageBreakBefore w:val="0"/>
        <w:widowControl w:val="0"/>
        <w:kinsoku/>
        <w:wordWrap/>
        <w:overflowPunct/>
        <w:topLinePunct w:val="0"/>
        <w:autoSpaceDE/>
        <w:autoSpaceDN/>
        <w:bidi w:val="0"/>
        <w:snapToGrid/>
        <w:spacing w:before="0" w:after="0" w:line="380" w:lineRule="exact"/>
        <w:ind w:firstLine="7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采购项目（项目编号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）招标文件（包括更正公告、如果有的话）收悉，我们经详细审阅和研究，现决定参加投标。同时，正式授权下述签字人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（姓名和职务）代表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（投标人单位名称），全权处理本次项目投标的有关事宜。</w:t>
      </w:r>
    </w:p>
    <w:p w14:paraId="555AA64F">
      <w:pPr>
        <w:pStyle w:val="40"/>
        <w:keepNext w:val="0"/>
        <w:keepLines w:val="0"/>
        <w:pageBreakBefore w:val="0"/>
        <w:widowControl w:val="0"/>
        <w:kinsoku/>
        <w:wordWrap/>
        <w:overflowPunct/>
        <w:topLinePunct w:val="0"/>
        <w:autoSpaceDE/>
        <w:autoSpaceDN/>
        <w:bidi w:val="0"/>
        <w:snapToGrid/>
        <w:spacing w:before="0" w:after="0" w:line="380" w:lineRule="exact"/>
        <w:ind w:firstLine="7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据此函，签字人兹宣布同意如下：</w:t>
      </w:r>
    </w:p>
    <w:p w14:paraId="0648CD87">
      <w:pPr>
        <w:pStyle w:val="40"/>
        <w:keepNext w:val="0"/>
        <w:keepLines w:val="0"/>
        <w:pageBreakBefore w:val="0"/>
        <w:widowControl w:val="0"/>
        <w:numPr>
          <w:ilvl w:val="0"/>
          <w:numId w:val="12"/>
        </w:numPr>
        <w:kinsoku/>
        <w:wordWrap/>
        <w:overflowPunct/>
        <w:topLinePunct w:val="0"/>
        <w:autoSpaceDE/>
        <w:autoSpaceDN/>
        <w:bidi w:val="0"/>
        <w:snapToGrid/>
        <w:spacing w:before="0" w:after="0" w:line="380" w:lineRule="exact"/>
        <w:ind w:firstLine="7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w:t>
      </w:r>
      <w:r>
        <w:rPr>
          <w:rFonts w:hint="eastAsia" w:ascii="仿宋" w:hAnsi="仿宋" w:eastAsia="仿宋" w:cs="仿宋"/>
          <w:color w:val="auto"/>
          <w:sz w:val="24"/>
          <w:szCs w:val="24"/>
          <w:highlight w:val="none"/>
          <w:lang w:eastAsia="zh-CN"/>
        </w:rPr>
        <w:t>磋商文件</w:t>
      </w:r>
      <w:r>
        <w:rPr>
          <w:rFonts w:hint="eastAsia" w:ascii="仿宋" w:hAnsi="仿宋" w:eastAsia="仿宋" w:cs="仿宋"/>
          <w:color w:val="auto"/>
          <w:sz w:val="24"/>
          <w:szCs w:val="24"/>
          <w:highlight w:val="none"/>
        </w:rPr>
        <w:t>规定的各项要求，我方愿以</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（RMB</w:t>
      </w:r>
    </w:p>
    <w:p w14:paraId="76748259">
      <w:pPr>
        <w:pStyle w:val="40"/>
        <w:keepNext w:val="0"/>
        <w:keepLines w:val="0"/>
        <w:pageBreakBefore w:val="0"/>
        <w:widowControl w:val="0"/>
        <w:numPr>
          <w:ilvl w:val="0"/>
          <w:numId w:val="0"/>
        </w:numPr>
        <w:kinsoku/>
        <w:wordWrap/>
        <w:overflowPunct/>
        <w:topLinePunct w:val="0"/>
        <w:autoSpaceDE/>
        <w:autoSpaceDN/>
        <w:bidi w:val="0"/>
        <w:snapToGrid/>
        <w:spacing w:before="0" w:after="0" w:line="38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）的报价并按</w:t>
      </w:r>
      <w:r>
        <w:rPr>
          <w:rFonts w:hint="eastAsia" w:ascii="仿宋" w:hAnsi="仿宋" w:eastAsia="仿宋" w:cs="仿宋"/>
          <w:color w:val="auto"/>
          <w:sz w:val="24"/>
          <w:szCs w:val="24"/>
          <w:highlight w:val="none"/>
          <w:lang w:eastAsia="zh-CN"/>
        </w:rPr>
        <w:t>磋商文件</w:t>
      </w:r>
      <w:r>
        <w:rPr>
          <w:rFonts w:hint="eastAsia" w:ascii="仿宋" w:hAnsi="仿宋" w:eastAsia="仿宋" w:cs="仿宋"/>
          <w:color w:val="auto"/>
          <w:sz w:val="24"/>
          <w:szCs w:val="24"/>
          <w:highlight w:val="none"/>
        </w:rPr>
        <w:t>的规定要求提供所需</w:t>
      </w:r>
      <w:r>
        <w:rPr>
          <w:rFonts w:hint="eastAsia" w:ascii="仿宋" w:hAnsi="仿宋" w:eastAsia="仿宋" w:cs="仿宋"/>
          <w:color w:val="auto"/>
          <w:sz w:val="24"/>
          <w:szCs w:val="24"/>
          <w:highlight w:val="none"/>
          <w:lang w:val="en-US" w:eastAsia="zh-CN"/>
        </w:rPr>
        <w:t>工程</w:t>
      </w:r>
      <w:r>
        <w:rPr>
          <w:rFonts w:hint="eastAsia" w:ascii="仿宋" w:hAnsi="仿宋" w:eastAsia="仿宋" w:cs="仿宋"/>
          <w:color w:val="auto"/>
          <w:sz w:val="24"/>
          <w:szCs w:val="24"/>
          <w:highlight w:val="none"/>
        </w:rPr>
        <w:t>服务</w:t>
      </w:r>
    </w:p>
    <w:p w14:paraId="7BF6EE9D">
      <w:pPr>
        <w:keepNext w:val="0"/>
        <w:keepLines w:val="0"/>
        <w:pageBreakBefore w:val="0"/>
        <w:widowControl w:val="0"/>
        <w:kinsoku/>
        <w:wordWrap/>
        <w:overflowPunct/>
        <w:topLinePunct w:val="0"/>
        <w:autoSpaceDE/>
        <w:autoSpaceDN/>
        <w:bidi w:val="0"/>
        <w:snapToGrid/>
        <w:spacing w:line="380" w:lineRule="exact"/>
        <w:ind w:firstLine="56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2.</w:t>
      </w:r>
      <w:r>
        <w:rPr>
          <w:rFonts w:hint="eastAsia" w:ascii="仿宋" w:hAnsi="仿宋" w:eastAsia="仿宋" w:cs="仿宋"/>
          <w:color w:val="auto"/>
          <w:sz w:val="24"/>
          <w:szCs w:val="24"/>
          <w:highlight w:val="none"/>
        </w:rPr>
        <w:t>我公司没有为本项目提供整体设计、规范编制或者项目管理、监理、检测等服务。</w:t>
      </w:r>
    </w:p>
    <w:p w14:paraId="494500F8">
      <w:pPr>
        <w:keepNext w:val="0"/>
        <w:keepLines w:val="0"/>
        <w:pageBreakBefore w:val="0"/>
        <w:widowControl w:val="0"/>
        <w:kinsoku/>
        <w:wordWrap/>
        <w:overflowPunct/>
        <w:topLinePunct w:val="0"/>
        <w:autoSpaceDE/>
        <w:autoSpaceDN/>
        <w:bidi w:val="0"/>
        <w:snapToGrid/>
        <w:spacing w:line="380" w:lineRule="exact"/>
        <w:ind w:firstLine="560"/>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rPr>
        <w:t>参加本次采购活动前，我方没有被“信用中国”网站、“中国政府采购网”列入失信被执行人名单、重大税收违法案件当事人名单、政府采购严重违法失信行为记录名单。</w:t>
      </w:r>
    </w:p>
    <w:p w14:paraId="65D126EF">
      <w:pPr>
        <w:pStyle w:val="40"/>
        <w:keepNext w:val="0"/>
        <w:keepLines w:val="0"/>
        <w:pageBreakBefore w:val="0"/>
        <w:widowControl w:val="0"/>
        <w:kinsoku/>
        <w:wordWrap/>
        <w:overflowPunct/>
        <w:topLinePunct w:val="0"/>
        <w:autoSpaceDE/>
        <w:autoSpaceDN/>
        <w:bidi w:val="0"/>
        <w:snapToGrid/>
        <w:spacing w:before="0" w:after="0" w:line="380" w:lineRule="exact"/>
        <w:ind w:firstLine="56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我们接受招标文件的</w:t>
      </w:r>
      <w:r>
        <w:rPr>
          <w:rFonts w:hint="eastAsia" w:ascii="仿宋" w:hAnsi="仿宋" w:eastAsia="仿宋" w:cs="仿宋"/>
          <w:color w:val="auto"/>
          <w:sz w:val="24"/>
          <w:szCs w:val="24"/>
          <w:highlight w:val="none"/>
          <w:lang w:eastAsia="zh-CN"/>
        </w:rPr>
        <w:t>所有</w:t>
      </w:r>
      <w:r>
        <w:rPr>
          <w:rFonts w:hint="eastAsia" w:ascii="仿宋" w:hAnsi="仿宋" w:eastAsia="仿宋" w:cs="仿宋"/>
          <w:color w:val="auto"/>
          <w:sz w:val="24"/>
          <w:szCs w:val="24"/>
          <w:highlight w:val="none"/>
        </w:rPr>
        <w:t>条款和规定。</w:t>
      </w:r>
    </w:p>
    <w:p w14:paraId="120974BE">
      <w:pPr>
        <w:pStyle w:val="40"/>
        <w:keepNext w:val="0"/>
        <w:keepLines w:val="0"/>
        <w:pageBreakBefore w:val="0"/>
        <w:widowControl w:val="0"/>
        <w:kinsoku/>
        <w:wordWrap/>
        <w:overflowPunct/>
        <w:topLinePunct w:val="0"/>
        <w:autoSpaceDE/>
        <w:autoSpaceDN/>
        <w:bidi w:val="0"/>
        <w:snapToGrid/>
        <w:spacing w:before="0" w:after="0" w:line="380" w:lineRule="exact"/>
        <w:ind w:firstLine="56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我们同意按照</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文件第二章</w:t>
      </w:r>
      <w:r>
        <w:rPr>
          <w:rFonts w:hint="eastAsia" w:ascii="仿宋" w:hAnsi="仿宋" w:eastAsia="仿宋" w:cs="仿宋"/>
          <w:color w:val="auto"/>
          <w:sz w:val="24"/>
          <w:szCs w:val="24"/>
          <w:highlight w:val="none"/>
          <w:lang w:val="en-US" w:eastAsia="zh-CN"/>
        </w:rPr>
        <w:t>供应商须知</w:t>
      </w:r>
      <w:r>
        <w:rPr>
          <w:rFonts w:hint="eastAsia" w:ascii="仿宋" w:hAnsi="仿宋" w:eastAsia="仿宋" w:cs="仿宋"/>
          <w:color w:val="auto"/>
          <w:sz w:val="24"/>
          <w:szCs w:val="24"/>
          <w:highlight w:val="none"/>
        </w:rPr>
        <w:t>第1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条的规定，本投标文件的有效期为从开标</w:t>
      </w:r>
      <w:r>
        <w:rPr>
          <w:rFonts w:hint="eastAsia" w:ascii="仿宋" w:hAnsi="仿宋" w:eastAsia="仿宋" w:cs="仿宋"/>
          <w:color w:val="auto"/>
          <w:sz w:val="24"/>
          <w:szCs w:val="24"/>
          <w:highlight w:val="none"/>
          <w:lang w:eastAsia="zh-CN"/>
        </w:rPr>
        <w:t>之日起</w:t>
      </w:r>
      <w:r>
        <w:rPr>
          <w:rFonts w:hint="eastAsia" w:ascii="仿宋" w:hAnsi="仿宋" w:eastAsia="仿宋" w:cs="仿宋"/>
          <w:color w:val="auto"/>
          <w:sz w:val="24"/>
          <w:szCs w:val="24"/>
          <w:highlight w:val="none"/>
        </w:rPr>
        <w:t>计算的九十天，在此期间，本投标文件将始终对我们具有约束力，并可随时被接受。如果我们中标，本投标文件在此期间之后将继续保持有效。</w:t>
      </w:r>
    </w:p>
    <w:p w14:paraId="74245530">
      <w:pPr>
        <w:pStyle w:val="40"/>
        <w:keepNext w:val="0"/>
        <w:keepLines w:val="0"/>
        <w:pageBreakBefore w:val="0"/>
        <w:widowControl w:val="0"/>
        <w:kinsoku/>
        <w:wordWrap/>
        <w:overflowPunct/>
        <w:topLinePunct w:val="0"/>
        <w:autoSpaceDE/>
        <w:autoSpaceDN/>
        <w:bidi w:val="0"/>
        <w:snapToGrid/>
        <w:spacing w:before="0" w:after="0" w:line="380" w:lineRule="exact"/>
        <w:ind w:firstLine="56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我们理解，你们无义务必须接受投标价最低的投标。同时也理解你们不承担我们本次投标的费用。</w:t>
      </w:r>
    </w:p>
    <w:p w14:paraId="0E1DE5C4">
      <w:pPr>
        <w:pStyle w:val="40"/>
        <w:keepNext w:val="0"/>
        <w:keepLines w:val="0"/>
        <w:pageBreakBefore w:val="0"/>
        <w:widowControl w:val="0"/>
        <w:kinsoku/>
        <w:wordWrap/>
        <w:overflowPunct/>
        <w:topLinePunct w:val="0"/>
        <w:autoSpaceDE/>
        <w:autoSpaceDN/>
        <w:bidi w:val="0"/>
        <w:snapToGrid/>
        <w:spacing w:before="0" w:after="0" w:line="380" w:lineRule="exact"/>
        <w:ind w:firstLine="56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7.</w:t>
      </w:r>
      <w:r>
        <w:rPr>
          <w:rFonts w:hint="eastAsia" w:ascii="仿宋" w:hAnsi="仿宋" w:eastAsia="仿宋" w:cs="仿宋"/>
          <w:color w:val="auto"/>
          <w:sz w:val="24"/>
          <w:szCs w:val="22"/>
          <w:highlight w:val="none"/>
        </w:rPr>
        <w:t>我们同意向贵方提供贵方可能要求的与投标有关的任何证据或资料，并保证所提供的都是真实的、准确的。</w:t>
      </w:r>
    </w:p>
    <w:p w14:paraId="5458B2C4">
      <w:pPr>
        <w:pStyle w:val="40"/>
        <w:keepNext w:val="0"/>
        <w:keepLines w:val="0"/>
        <w:pageBreakBefore w:val="0"/>
        <w:widowControl w:val="0"/>
        <w:kinsoku/>
        <w:wordWrap/>
        <w:overflowPunct/>
        <w:topLinePunct w:val="0"/>
        <w:autoSpaceDE/>
        <w:autoSpaceDN/>
        <w:bidi w:val="0"/>
        <w:snapToGrid/>
        <w:spacing w:before="0" w:after="0" w:line="380" w:lineRule="exact"/>
        <w:ind w:firstLine="56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一旦我方中标，我方将根据招标文件的规定，严格履行合同的责任和义务，并保证</w:t>
      </w:r>
      <w:r>
        <w:rPr>
          <w:rFonts w:hint="eastAsia" w:ascii="仿宋" w:hAnsi="仿宋" w:eastAsia="仿宋" w:cs="仿宋"/>
          <w:color w:val="auto"/>
          <w:sz w:val="24"/>
          <w:szCs w:val="24"/>
          <w:highlight w:val="none"/>
          <w:lang w:eastAsia="zh-CN"/>
        </w:rPr>
        <w:t>在</w:t>
      </w:r>
      <w:r>
        <w:rPr>
          <w:rFonts w:hint="eastAsia" w:ascii="仿宋" w:hAnsi="仿宋" w:eastAsia="仿宋" w:cs="仿宋"/>
          <w:color w:val="auto"/>
          <w:sz w:val="24"/>
          <w:szCs w:val="24"/>
          <w:highlight w:val="none"/>
        </w:rPr>
        <w:t>招标文件中规定的时间内供货，并完成项目的施工、调试、交付买方验收、使用。</w:t>
      </w:r>
    </w:p>
    <w:p w14:paraId="46D67D14">
      <w:pPr>
        <w:pStyle w:val="40"/>
        <w:keepNext w:val="0"/>
        <w:keepLines w:val="0"/>
        <w:pageBreakBefore w:val="0"/>
        <w:widowControl w:val="0"/>
        <w:kinsoku/>
        <w:wordWrap/>
        <w:overflowPunct/>
        <w:topLinePunct w:val="0"/>
        <w:autoSpaceDE/>
        <w:autoSpaceDN/>
        <w:bidi w:val="0"/>
        <w:snapToGrid/>
        <w:spacing w:before="0" w:after="0" w:line="380" w:lineRule="exact"/>
        <w:ind w:right="560" w:firstLine="2940"/>
        <w:textAlignment w:val="auto"/>
        <w:rPr>
          <w:rFonts w:hint="eastAsia" w:ascii="仿宋" w:hAnsi="仿宋" w:eastAsia="仿宋" w:cs="仿宋"/>
          <w:color w:val="auto"/>
          <w:sz w:val="24"/>
          <w:szCs w:val="22"/>
          <w:highlight w:val="none"/>
        </w:rPr>
      </w:pPr>
    </w:p>
    <w:p w14:paraId="6060F17E">
      <w:pPr>
        <w:pStyle w:val="40"/>
        <w:keepNext w:val="0"/>
        <w:keepLines w:val="0"/>
        <w:pageBreakBefore w:val="0"/>
        <w:widowControl w:val="0"/>
        <w:kinsoku/>
        <w:wordWrap/>
        <w:overflowPunct/>
        <w:topLinePunct w:val="0"/>
        <w:autoSpaceDE/>
        <w:autoSpaceDN/>
        <w:bidi w:val="0"/>
        <w:snapToGrid/>
        <w:spacing w:before="0" w:after="0" w:line="380" w:lineRule="exact"/>
        <w:ind w:right="560" w:firstLine="2942" w:firstLineChars="1226"/>
        <w:textAlignment w:val="auto"/>
        <w:rPr>
          <w:rFonts w:hint="eastAsia" w:ascii="仿宋" w:hAnsi="仿宋" w:eastAsia="仿宋" w:cs="仿宋"/>
          <w:color w:val="auto"/>
          <w:sz w:val="24"/>
          <w:szCs w:val="22"/>
          <w:highlight w:val="none"/>
          <w:u w:val="singl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供应商名称</w:t>
      </w:r>
      <w:r>
        <w:rPr>
          <w:rFonts w:hint="eastAsia" w:ascii="仿宋" w:hAnsi="仿宋" w:eastAsia="仿宋" w:cs="仿宋"/>
          <w:color w:val="auto"/>
          <w:sz w:val="24"/>
          <w:szCs w:val="22"/>
          <w:highlight w:val="none"/>
        </w:rPr>
        <w:t>（电子签章）</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p>
    <w:p w14:paraId="5E52E83F">
      <w:pPr>
        <w:pStyle w:val="40"/>
        <w:keepNext w:val="0"/>
        <w:keepLines w:val="0"/>
        <w:pageBreakBefore w:val="0"/>
        <w:widowControl w:val="0"/>
        <w:kinsoku/>
        <w:wordWrap/>
        <w:overflowPunct/>
        <w:topLinePunct w:val="0"/>
        <w:autoSpaceDE/>
        <w:autoSpaceDN/>
        <w:bidi w:val="0"/>
        <w:snapToGrid/>
        <w:spacing w:before="0" w:after="0" w:line="380" w:lineRule="exact"/>
        <w:ind w:right="560" w:firstLine="2942" w:firstLineChars="1226"/>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邮编</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14:paraId="0E226DA1">
      <w:pPr>
        <w:keepNext w:val="0"/>
        <w:keepLines w:val="0"/>
        <w:pageBreakBefore w:val="0"/>
        <w:widowControl w:val="0"/>
        <w:kinsoku/>
        <w:wordWrap/>
        <w:overflowPunct/>
        <w:topLinePunct w:val="0"/>
        <w:autoSpaceDE/>
        <w:autoSpaceDN/>
        <w:bidi w:val="0"/>
        <w:snapToGrid/>
        <w:spacing w:line="380" w:lineRule="exact"/>
        <w:ind w:right="560" w:firstLine="2880" w:firstLineChars="1200"/>
        <w:jc w:val="both"/>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14:paraId="666AAE0E">
      <w:pPr>
        <w:pStyle w:val="9"/>
        <w:keepNext w:val="0"/>
        <w:keepLines w:val="0"/>
        <w:pageBreakBefore w:val="0"/>
        <w:widowControl w:val="0"/>
        <w:kinsoku/>
        <w:wordWrap/>
        <w:overflowPunct/>
        <w:topLinePunct w:val="0"/>
        <w:autoSpaceDE/>
        <w:autoSpaceDN/>
        <w:bidi w:val="0"/>
        <w:snapToGrid/>
        <w:spacing w:line="380" w:lineRule="exact"/>
        <w:ind w:right="560" w:firstLine="2880" w:firstLineChars="1200"/>
        <w:textAlignment w:val="auto"/>
        <w:rPr>
          <w:rFonts w:hint="eastAsia" w:ascii="仿宋" w:hAnsi="仿宋" w:eastAsia="仿宋" w:cs="仿宋"/>
          <w:color w:val="auto"/>
          <w:sz w:val="24"/>
          <w:szCs w:val="18"/>
          <w:highlight w:val="none"/>
          <w:u w:val="single"/>
        </w:rPr>
      </w:pPr>
      <w:r>
        <w:rPr>
          <w:rFonts w:hint="eastAsia" w:ascii="仿宋" w:hAnsi="仿宋" w:eastAsia="仿宋" w:cs="仿宋"/>
          <w:color w:val="auto"/>
          <w:sz w:val="24"/>
          <w:szCs w:val="22"/>
          <w:highlight w:val="none"/>
        </w:rPr>
        <w:t>法定代表人（</w:t>
      </w:r>
      <w:r>
        <w:rPr>
          <w:rFonts w:hint="eastAsia" w:ascii="仿宋" w:hAnsi="仿宋" w:eastAsia="仿宋" w:cs="仿宋"/>
          <w:color w:val="auto"/>
          <w:sz w:val="24"/>
          <w:szCs w:val="18"/>
          <w:highlight w:val="none"/>
        </w:rPr>
        <w:t>电子签章或</w:t>
      </w:r>
      <w:r>
        <w:rPr>
          <w:rFonts w:hint="eastAsia" w:ascii="仿宋" w:hAnsi="仿宋" w:eastAsia="仿宋" w:cs="仿宋"/>
          <w:color w:val="auto"/>
          <w:sz w:val="24"/>
          <w:szCs w:val="22"/>
          <w:highlight w:val="none"/>
        </w:rPr>
        <w:t>电子签字）</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18"/>
          <w:highlight w:val="none"/>
          <w:u w:val="single"/>
        </w:rPr>
        <w:t xml:space="preserve">  </w:t>
      </w:r>
      <w:r>
        <w:rPr>
          <w:rFonts w:hint="eastAsia" w:ascii="仿宋" w:hAnsi="仿宋" w:eastAsia="仿宋" w:cs="仿宋"/>
          <w:color w:val="auto"/>
          <w:sz w:val="24"/>
          <w:szCs w:val="18"/>
          <w:highlight w:val="none"/>
          <w:u w:val="single"/>
          <w:lang w:val="en-US" w:eastAsia="zh-CN"/>
        </w:rPr>
        <w:t xml:space="preserve">          </w:t>
      </w:r>
      <w:r>
        <w:rPr>
          <w:rFonts w:hint="eastAsia" w:ascii="仿宋" w:hAnsi="仿宋" w:eastAsia="仿宋" w:cs="仿宋"/>
          <w:color w:val="auto"/>
          <w:sz w:val="24"/>
          <w:szCs w:val="18"/>
          <w:highlight w:val="none"/>
          <w:u w:val="single"/>
        </w:rPr>
        <w:t xml:space="preserve"> </w:t>
      </w:r>
    </w:p>
    <w:p w14:paraId="72B2228E">
      <w:pPr>
        <w:pStyle w:val="9"/>
        <w:keepNext w:val="0"/>
        <w:keepLines w:val="0"/>
        <w:pageBreakBefore w:val="0"/>
        <w:widowControl w:val="0"/>
        <w:kinsoku/>
        <w:wordWrap/>
        <w:overflowPunct/>
        <w:topLinePunct w:val="0"/>
        <w:autoSpaceDE/>
        <w:autoSpaceDN/>
        <w:bidi w:val="0"/>
        <w:snapToGrid/>
        <w:spacing w:line="380" w:lineRule="exact"/>
        <w:ind w:right="560" w:firstLine="2880" w:firstLineChars="1200"/>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职务</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p>
    <w:p w14:paraId="111FD810">
      <w:pPr>
        <w:pStyle w:val="9"/>
        <w:keepNext w:val="0"/>
        <w:keepLines w:val="0"/>
        <w:pageBreakBefore w:val="0"/>
        <w:widowControl w:val="0"/>
        <w:kinsoku/>
        <w:wordWrap/>
        <w:overflowPunct/>
        <w:topLinePunct w:val="0"/>
        <w:autoSpaceDE/>
        <w:autoSpaceDN/>
        <w:bidi w:val="0"/>
        <w:snapToGrid/>
        <w:spacing w:line="380" w:lineRule="exact"/>
        <w:ind w:right="560" w:firstLine="420"/>
        <w:jc w:val="center"/>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         日期</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年</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月</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日</w:t>
      </w:r>
    </w:p>
    <w:p w14:paraId="70A66B11">
      <w:pPr>
        <w:pageBreakBefore w:val="0"/>
        <w:kinsoku/>
        <w:overflowPunct/>
        <w:topLinePunct w:val="0"/>
        <w:bidi w:val="0"/>
        <w:spacing w:line="380" w:lineRule="exact"/>
        <w:jc w:val="both"/>
        <w:rPr>
          <w:rFonts w:hint="eastAsia" w:ascii="仿宋" w:hAnsi="仿宋" w:eastAsia="仿宋" w:cs="仿宋"/>
          <w:b/>
          <w:bCs/>
          <w:color w:val="auto"/>
          <w:sz w:val="32"/>
          <w:szCs w:val="32"/>
          <w:highlight w:val="none"/>
        </w:rPr>
      </w:pPr>
    </w:p>
    <w:p w14:paraId="1ABFC0C9">
      <w:pPr>
        <w:pageBreakBefore w:val="0"/>
        <w:kinsoku/>
        <w:overflowPunct/>
        <w:topLinePunct w:val="0"/>
        <w:bidi w:val="0"/>
        <w:spacing w:line="380" w:lineRule="exact"/>
        <w:jc w:val="both"/>
        <w:rPr>
          <w:rFonts w:hint="eastAsia" w:ascii="仿宋" w:hAnsi="仿宋" w:eastAsia="仿宋" w:cs="仿宋"/>
          <w:b/>
          <w:bCs/>
          <w:color w:val="auto"/>
          <w:sz w:val="32"/>
          <w:szCs w:val="32"/>
          <w:highlight w:val="none"/>
        </w:rPr>
      </w:pPr>
    </w:p>
    <w:p w14:paraId="46BCBCAD">
      <w:pPr>
        <w:pageBreakBefore w:val="0"/>
        <w:kinsoku/>
        <w:overflowPunct/>
        <w:topLinePunct w:val="0"/>
        <w:bidi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r>
    </w:p>
    <w:p w14:paraId="29679765">
      <w:pPr>
        <w:pageBreakBefore w:val="0"/>
        <w:widowControl/>
        <w:kinsoku/>
        <w:overflowPunct/>
        <w:topLinePunct w:val="0"/>
        <w:bidi w:val="0"/>
        <w:spacing w:before="19" w:line="380" w:lineRule="exact"/>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二、开标一览表</w:t>
      </w:r>
    </w:p>
    <w:p w14:paraId="7880172A">
      <w:pPr>
        <w:pageBreakBefore w:val="0"/>
        <w:widowControl/>
        <w:kinsoku/>
        <w:overflowPunct/>
        <w:topLinePunct w:val="0"/>
        <w:bidi w:val="0"/>
        <w:spacing w:before="19" w:line="380" w:lineRule="exact"/>
        <w:ind w:firstLine="3036"/>
        <w:rPr>
          <w:rFonts w:hint="eastAsia" w:ascii="仿宋" w:hAnsi="仿宋" w:eastAsia="仿宋" w:cs="仿宋"/>
          <w:b/>
          <w:color w:val="auto"/>
          <w:sz w:val="32"/>
          <w:szCs w:val="32"/>
          <w:highlight w:val="none"/>
        </w:rPr>
      </w:pPr>
    </w:p>
    <w:p w14:paraId="72578564">
      <w:pPr>
        <w:pStyle w:val="16"/>
        <w:keepNext w:val="0"/>
        <w:keepLines w:val="0"/>
        <w:pageBreakBefore w:val="0"/>
        <w:widowControl/>
        <w:suppressLineNumbers w:val="0"/>
        <w:kinsoku/>
        <w:overflowPunct/>
        <w:topLinePunct w:val="0"/>
        <w:bidi w:val="0"/>
        <w:spacing w:line="38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供应商名称 </w:t>
      </w:r>
      <w:r>
        <w:rPr>
          <w:rFonts w:hint="eastAsia" w:ascii="仿宋" w:hAnsi="仿宋" w:eastAsia="仿宋" w:cs="仿宋"/>
          <w:color w:val="auto"/>
          <w:highlight w:val="none"/>
          <w:lang w:eastAsia="zh-CN"/>
        </w:rPr>
        <w:t>：</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p>
    <w:p w14:paraId="2E05E556">
      <w:pPr>
        <w:pStyle w:val="16"/>
        <w:keepNext w:val="0"/>
        <w:keepLines w:val="0"/>
        <w:pageBreakBefore w:val="0"/>
        <w:widowControl/>
        <w:suppressLineNumbers w:val="0"/>
        <w:kinsoku/>
        <w:overflowPunct/>
        <w:topLinePunct w:val="0"/>
        <w:bidi w:val="0"/>
        <w:spacing w:line="380" w:lineRule="exact"/>
        <w:rPr>
          <w:rFonts w:hint="eastAsia" w:ascii="仿宋" w:hAnsi="仿宋" w:eastAsia="仿宋" w:cs="仿宋"/>
          <w:color w:val="auto"/>
          <w:highlight w:val="none"/>
          <w:u w:val="single"/>
          <w:lang w:val="en-US" w:eastAsia="zh-CN"/>
        </w:rPr>
      </w:pPr>
      <w:r>
        <w:rPr>
          <w:rFonts w:hint="eastAsia" w:ascii="仿宋" w:hAnsi="仿宋" w:eastAsia="仿宋" w:cs="仿宋"/>
          <w:color w:val="auto"/>
          <w:highlight w:val="none"/>
        </w:rPr>
        <w:t>项目名称：</w:t>
      </w:r>
      <w:r>
        <w:rPr>
          <w:rFonts w:hint="eastAsia" w:ascii="仿宋" w:hAnsi="仿宋" w:eastAsia="仿宋" w:cs="仿宋"/>
          <w:color w:val="auto"/>
          <w:highlight w:val="none"/>
          <w:u w:val="single"/>
          <w:lang w:val="en-US" w:eastAsia="zh-CN"/>
        </w:rPr>
        <w:t xml:space="preserve">                         </w:t>
      </w:r>
    </w:p>
    <w:p w14:paraId="3E3128F8">
      <w:pPr>
        <w:pStyle w:val="16"/>
        <w:keepNext w:val="0"/>
        <w:keepLines w:val="0"/>
        <w:pageBreakBefore w:val="0"/>
        <w:widowControl/>
        <w:suppressLineNumbers w:val="0"/>
        <w:kinsoku/>
        <w:overflowPunct/>
        <w:topLinePunct w:val="0"/>
        <w:bidi w:val="0"/>
        <w:spacing w:line="38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项目编号：</w:t>
      </w:r>
      <w:r>
        <w:rPr>
          <w:rFonts w:hint="eastAsia" w:ascii="仿宋" w:hAnsi="仿宋" w:eastAsia="仿宋" w:cs="仿宋"/>
          <w:color w:val="auto"/>
          <w:highlight w:val="none"/>
          <w:u w:val="single"/>
          <w:lang w:val="en-US" w:eastAsia="zh-CN"/>
        </w:rPr>
        <w:t xml:space="preserve">                    </w:t>
      </w:r>
    </w:p>
    <w:p w14:paraId="792FA6B2">
      <w:pPr>
        <w:pStyle w:val="16"/>
        <w:keepNext w:val="0"/>
        <w:keepLines w:val="0"/>
        <w:pageBreakBefore w:val="0"/>
        <w:widowControl/>
        <w:suppressLineNumbers w:val="0"/>
        <w:kinsoku/>
        <w:overflowPunct/>
        <w:topLinePunct w:val="0"/>
        <w:bidi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w:t>
      </w:r>
    </w:p>
    <w:tbl>
      <w:tblPr>
        <w:tblStyle w:val="17"/>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9102"/>
      </w:tblGrid>
      <w:tr w14:paraId="728733F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927" w:hRule="atLeast"/>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14:paraId="2AA376EC">
            <w:pPr>
              <w:keepNext w:val="0"/>
              <w:keepLines w:val="0"/>
              <w:pageBreakBefore w:val="0"/>
              <w:widowControl/>
              <w:suppressLineNumbers w:val="0"/>
              <w:kinsoku/>
              <w:overflowPunct/>
              <w:topLinePunct w:val="0"/>
              <w:bidi w:val="0"/>
              <w:spacing w:line="380" w:lineRule="exact"/>
              <w:jc w:val="center"/>
              <w:rPr>
                <w:rFonts w:hint="eastAsia" w:ascii="仿宋" w:hAnsi="仿宋" w:eastAsia="仿宋" w:cs="仿宋"/>
                <w:color w:val="auto"/>
                <w:highlight w:val="none"/>
              </w:rPr>
            </w:pPr>
            <w:r>
              <w:rPr>
                <w:rFonts w:hint="eastAsia" w:ascii="仿宋" w:hAnsi="仿宋" w:eastAsia="仿宋" w:cs="仿宋"/>
                <w:color w:val="auto"/>
                <w:kern w:val="0"/>
                <w:sz w:val="24"/>
                <w:szCs w:val="24"/>
                <w:highlight w:val="none"/>
                <w:lang w:val="en-US" w:eastAsia="zh-CN" w:bidi="ar"/>
              </w:rPr>
              <w:t>投标总报价</w:t>
            </w:r>
          </w:p>
        </w:tc>
      </w:tr>
      <w:tr w14:paraId="2D91FB0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1287" w:hRule="atLeast"/>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14:paraId="461ACFEA">
            <w:pPr>
              <w:keepNext w:val="0"/>
              <w:keepLines w:val="0"/>
              <w:pageBreakBefore w:val="0"/>
              <w:widowControl/>
              <w:suppressLineNumbers w:val="0"/>
              <w:kinsoku/>
              <w:overflowPunct/>
              <w:topLinePunct w:val="0"/>
              <w:bidi w:val="0"/>
              <w:spacing w:line="380" w:lineRule="exact"/>
              <w:jc w:val="left"/>
              <w:rPr>
                <w:rFonts w:hint="eastAsia" w:ascii="仿宋" w:hAnsi="仿宋" w:eastAsia="仿宋" w:cs="仿宋"/>
                <w:color w:val="auto"/>
                <w:highlight w:val="none"/>
              </w:rPr>
            </w:pPr>
            <w:r>
              <w:rPr>
                <w:rFonts w:hint="eastAsia" w:ascii="仿宋" w:hAnsi="仿宋" w:eastAsia="仿宋" w:cs="仿宋"/>
                <w:color w:val="auto"/>
                <w:kern w:val="0"/>
                <w:sz w:val="24"/>
                <w:szCs w:val="24"/>
                <w:highlight w:val="none"/>
                <w:lang w:val="en-US" w:eastAsia="zh-CN" w:bidi="ar"/>
              </w:rPr>
              <w:t>小写：          （大写人民币：      ）</w:t>
            </w:r>
          </w:p>
        </w:tc>
      </w:tr>
    </w:tbl>
    <w:p w14:paraId="0EED1D38">
      <w:pPr>
        <w:pStyle w:val="16"/>
        <w:keepNext w:val="0"/>
        <w:keepLines w:val="0"/>
        <w:pageBreakBefore w:val="0"/>
        <w:widowControl/>
        <w:suppressLineNumbers w:val="0"/>
        <w:kinsoku/>
        <w:overflowPunct/>
        <w:topLinePunct w:val="0"/>
        <w:bidi w:val="0"/>
        <w:spacing w:line="380" w:lineRule="exact"/>
        <w:ind w:firstLine="4080" w:firstLineChars="1700"/>
        <w:rPr>
          <w:rFonts w:hint="eastAsia" w:ascii="仿宋" w:hAnsi="仿宋" w:eastAsia="仿宋" w:cs="仿宋"/>
          <w:color w:val="auto"/>
          <w:highlight w:val="none"/>
          <w:lang w:val="en-US" w:eastAsia="zh-CN"/>
        </w:rPr>
      </w:pPr>
    </w:p>
    <w:p w14:paraId="5287490C">
      <w:pPr>
        <w:pStyle w:val="16"/>
        <w:keepNext w:val="0"/>
        <w:keepLines w:val="0"/>
        <w:pageBreakBefore w:val="0"/>
        <w:widowControl/>
        <w:suppressLineNumbers w:val="0"/>
        <w:kinsoku/>
        <w:overflowPunct/>
        <w:topLinePunct w:val="0"/>
        <w:bidi w:val="0"/>
        <w:spacing w:line="380" w:lineRule="exact"/>
        <w:ind w:firstLine="4080" w:firstLineChars="1700"/>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供应商名称 </w:t>
      </w:r>
      <w:r>
        <w:rPr>
          <w:rFonts w:hint="eastAsia" w:ascii="仿宋" w:hAnsi="仿宋" w:eastAsia="仿宋" w:cs="仿宋"/>
          <w:color w:val="auto"/>
          <w:highlight w:val="none"/>
          <w:lang w:eastAsia="zh-CN"/>
        </w:rPr>
        <w:t>：</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电子签章</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 </w:t>
      </w:r>
    </w:p>
    <w:p w14:paraId="043FA55A">
      <w:pPr>
        <w:pStyle w:val="16"/>
        <w:keepNext w:val="0"/>
        <w:keepLines w:val="0"/>
        <w:pageBreakBefore w:val="0"/>
        <w:widowControl/>
        <w:suppressLineNumbers w:val="0"/>
        <w:kinsoku/>
        <w:overflowPunct/>
        <w:topLinePunct w:val="0"/>
        <w:bidi w:val="0"/>
        <w:spacing w:line="380" w:lineRule="exact"/>
        <w:jc w:val="center"/>
        <w:rPr>
          <w:rFonts w:hint="eastAsia" w:ascii="仿宋" w:hAnsi="仿宋" w:eastAsia="仿宋" w:cs="仿宋"/>
          <w:color w:val="auto"/>
          <w:highlight w:val="none"/>
        </w:rPr>
        <w:sectPr>
          <w:pgSz w:w="11906" w:h="16838"/>
          <w:pgMar w:top="1417" w:right="1417" w:bottom="1417" w:left="1417" w:header="567" w:footer="630" w:gutter="0"/>
          <w:cols w:space="720" w:num="1"/>
        </w:sect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日期： 年</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月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日</w:t>
      </w:r>
    </w:p>
    <w:p w14:paraId="7CB8C8CD">
      <w:pPr>
        <w:pStyle w:val="16"/>
        <w:keepNext w:val="0"/>
        <w:keepLines w:val="0"/>
        <w:pageBreakBefore w:val="0"/>
        <w:widowControl/>
        <w:suppressLineNumbers w:val="0"/>
        <w:kinsoku/>
        <w:overflowPunct/>
        <w:topLinePunct w:val="0"/>
        <w:bidi w:val="0"/>
        <w:spacing w:line="380" w:lineRule="exact"/>
        <w:jc w:val="center"/>
        <w:rPr>
          <w:rFonts w:hint="eastAsia" w:ascii="仿宋" w:hAnsi="仿宋" w:eastAsia="仿宋" w:cs="仿宋"/>
          <w:color w:val="auto"/>
          <w:highlight w:val="none"/>
        </w:rPr>
      </w:pPr>
    </w:p>
    <w:p w14:paraId="1CAF7709">
      <w:pPr>
        <w:pageBreakBefore w:val="0"/>
        <w:kinsoku/>
        <w:overflowPunct/>
        <w:topLinePunct w:val="0"/>
        <w:bidi w:val="0"/>
        <w:spacing w:line="380" w:lineRule="exact"/>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三、报价明细表</w:t>
      </w:r>
    </w:p>
    <w:tbl>
      <w:tblPr>
        <w:tblStyle w:val="17"/>
        <w:tblW w:w="10446" w:type="dxa"/>
        <w:tblInd w:w="0" w:type="dxa"/>
        <w:tblLayout w:type="fixed"/>
        <w:tblCellMar>
          <w:top w:w="0" w:type="dxa"/>
          <w:left w:w="0" w:type="dxa"/>
          <w:bottom w:w="0" w:type="dxa"/>
          <w:right w:w="0" w:type="dxa"/>
        </w:tblCellMar>
      </w:tblPr>
      <w:tblGrid>
        <w:gridCol w:w="544"/>
        <w:gridCol w:w="888"/>
        <w:gridCol w:w="1182"/>
        <w:gridCol w:w="2894"/>
        <w:gridCol w:w="823"/>
        <w:gridCol w:w="837"/>
        <w:gridCol w:w="252"/>
        <w:gridCol w:w="253"/>
        <w:gridCol w:w="663"/>
        <w:gridCol w:w="17"/>
        <w:gridCol w:w="1124"/>
        <w:gridCol w:w="969"/>
      </w:tblGrid>
      <w:tr w14:paraId="16959132">
        <w:tblPrEx>
          <w:tblCellMar>
            <w:top w:w="0" w:type="dxa"/>
            <w:left w:w="0" w:type="dxa"/>
            <w:bottom w:w="0" w:type="dxa"/>
            <w:right w:w="0" w:type="dxa"/>
          </w:tblCellMar>
        </w:tblPrEx>
        <w:trPr>
          <w:trHeight w:val="673" w:hRule="exact"/>
        </w:trPr>
        <w:tc>
          <w:tcPr>
            <w:tcW w:w="10446" w:type="dxa"/>
            <w:gridSpan w:val="12"/>
            <w:tcBorders>
              <w:top w:val="single" w:color="auto" w:sz="4" w:space="0"/>
              <w:left w:val="single" w:color="auto" w:sz="4" w:space="0"/>
              <w:bottom w:val="single" w:color="auto" w:sz="4" w:space="0"/>
              <w:right w:val="single" w:color="auto" w:sz="4" w:space="0"/>
            </w:tcBorders>
            <w:shd w:val="clear" w:color="auto" w:fill="auto"/>
            <w:vAlign w:val="center"/>
          </w:tcPr>
          <w:p w14:paraId="198B4FBA">
            <w:pPr>
              <w:spacing w:line="232" w:lineRule="auto"/>
              <w:jc w:val="center"/>
              <w:rPr>
                <w:rFonts w:hint="eastAsia" w:ascii="宋体" w:hAnsi="宋体" w:eastAsia="宋体" w:cs="宋体"/>
                <w:b/>
                <w:color w:val="auto"/>
                <w:spacing w:val="-2"/>
                <w:sz w:val="32"/>
                <w:highlight w:val="none"/>
                <w:lang w:eastAsia="zh-CN"/>
              </w:rPr>
            </w:pPr>
            <w:r>
              <w:rPr>
                <w:rFonts w:hint="eastAsia" w:ascii="宋体" w:hAnsi="宋体" w:eastAsia="宋体" w:cs="宋体"/>
                <w:b/>
                <w:color w:val="auto"/>
                <w:spacing w:val="-2"/>
                <w:sz w:val="32"/>
                <w:highlight w:val="none"/>
                <w:lang w:eastAsia="zh-CN"/>
              </w:rPr>
              <w:t>全费用工程量清单与计价表</w:t>
            </w:r>
          </w:p>
        </w:tc>
      </w:tr>
      <w:tr w14:paraId="5840D801">
        <w:tblPrEx>
          <w:tblCellMar>
            <w:top w:w="0" w:type="dxa"/>
            <w:left w:w="0" w:type="dxa"/>
            <w:bottom w:w="0" w:type="dxa"/>
            <w:right w:w="0" w:type="dxa"/>
          </w:tblCellMar>
        </w:tblPrEx>
        <w:trPr>
          <w:trHeight w:val="344" w:hRule="exact"/>
        </w:trPr>
        <w:tc>
          <w:tcPr>
            <w:tcW w:w="5508"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68309DCE">
            <w:pPr>
              <w:spacing w:line="232" w:lineRule="auto"/>
              <w:rPr>
                <w:rFonts w:ascii="黑体" w:hAnsi="黑体" w:eastAsia="黑体" w:cs="黑体"/>
                <w:color w:val="auto"/>
                <w:spacing w:val="-2"/>
                <w:sz w:val="21"/>
                <w:highlight w:val="none"/>
              </w:rPr>
            </w:pPr>
            <w:r>
              <w:rPr>
                <w:rFonts w:ascii="黑体" w:hAnsi="黑体" w:eastAsia="黑体" w:cs="黑体"/>
                <w:color w:val="auto"/>
                <w:spacing w:val="-2"/>
                <w:sz w:val="21"/>
                <w:highlight w:val="none"/>
              </w:rPr>
              <w:t>工程名称：安装</w:t>
            </w:r>
          </w:p>
        </w:tc>
        <w:tc>
          <w:tcPr>
            <w:tcW w:w="2165"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38D10BB7">
            <w:pPr>
              <w:spacing w:line="232" w:lineRule="auto"/>
              <w:rPr>
                <w:rFonts w:ascii="黑体" w:hAnsi="黑体" w:eastAsia="黑体" w:cs="黑体"/>
                <w:color w:val="auto"/>
                <w:spacing w:val="-2"/>
                <w:sz w:val="21"/>
                <w:highlight w:val="none"/>
              </w:rPr>
            </w:pPr>
            <w:r>
              <w:rPr>
                <w:rFonts w:ascii="黑体" w:hAnsi="黑体" w:eastAsia="黑体" w:cs="黑体"/>
                <w:color w:val="auto"/>
                <w:spacing w:val="-2"/>
                <w:sz w:val="21"/>
                <w:highlight w:val="none"/>
              </w:rPr>
              <w:t>标段：</w:t>
            </w:r>
          </w:p>
        </w:tc>
        <w:tc>
          <w:tcPr>
            <w:tcW w:w="2773"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78A9DBC3">
            <w:pPr>
              <w:spacing w:line="232" w:lineRule="auto"/>
              <w:jc w:val="right"/>
              <w:rPr>
                <w:rFonts w:ascii="黑体" w:hAnsi="黑体" w:eastAsia="黑体" w:cs="黑体"/>
                <w:color w:val="auto"/>
                <w:spacing w:val="-2"/>
                <w:sz w:val="21"/>
                <w:highlight w:val="none"/>
              </w:rPr>
            </w:pPr>
            <w:r>
              <w:rPr>
                <w:rFonts w:ascii="黑体" w:hAnsi="黑体" w:eastAsia="黑体" w:cs="黑体"/>
                <w:color w:val="auto"/>
                <w:spacing w:val="-2"/>
                <w:sz w:val="21"/>
                <w:highlight w:val="none"/>
              </w:rPr>
              <w:t>第1页 共5页</w:t>
            </w:r>
          </w:p>
        </w:tc>
      </w:tr>
      <w:tr w14:paraId="1D151F6C">
        <w:tblPrEx>
          <w:tblCellMar>
            <w:top w:w="0" w:type="dxa"/>
            <w:left w:w="0" w:type="dxa"/>
            <w:bottom w:w="0" w:type="dxa"/>
            <w:right w:w="0" w:type="dxa"/>
          </w:tblCellMar>
        </w:tblPrEx>
        <w:trPr>
          <w:trHeight w:val="301" w:hRule="exact"/>
        </w:trPr>
        <w:tc>
          <w:tcPr>
            <w:tcW w:w="544" w:type="dxa"/>
            <w:vMerge w:val="restart"/>
            <w:tcBorders>
              <w:top w:val="single" w:color="auto" w:sz="4" w:space="0"/>
              <w:left w:val="single" w:color="000000" w:sz="10" w:space="0"/>
              <w:bottom w:val="single" w:color="auto" w:sz="4" w:space="0"/>
              <w:right w:val="single" w:color="000000" w:sz="4" w:space="0"/>
            </w:tcBorders>
            <w:shd w:val="clear" w:color="auto" w:fill="FFFFFF"/>
            <w:vAlign w:val="center"/>
          </w:tcPr>
          <w:p w14:paraId="204F4910">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序号</w:t>
            </w:r>
          </w:p>
        </w:tc>
        <w:tc>
          <w:tcPr>
            <w:tcW w:w="888"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04FB710E">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项目编码</w:t>
            </w:r>
          </w:p>
        </w:tc>
        <w:tc>
          <w:tcPr>
            <w:tcW w:w="1182"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66B83733">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项目名称</w:t>
            </w:r>
          </w:p>
        </w:tc>
        <w:tc>
          <w:tcPr>
            <w:tcW w:w="2894"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13522570">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项目特征描述</w:t>
            </w:r>
          </w:p>
        </w:tc>
        <w:tc>
          <w:tcPr>
            <w:tcW w:w="823"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416E7806">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计量</w:t>
            </w:r>
          </w:p>
          <w:p w14:paraId="4733454E">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单位</w:t>
            </w:r>
          </w:p>
        </w:tc>
        <w:tc>
          <w:tcPr>
            <w:tcW w:w="837"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096AC1DA">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工程量</w:t>
            </w:r>
          </w:p>
        </w:tc>
        <w:tc>
          <w:tcPr>
            <w:tcW w:w="3278" w:type="dxa"/>
            <w:gridSpan w:val="6"/>
            <w:tcBorders>
              <w:top w:val="single" w:color="auto" w:sz="4" w:space="0"/>
              <w:left w:val="single" w:color="000000" w:sz="4" w:space="0"/>
              <w:bottom w:val="single" w:color="auto" w:sz="4" w:space="0"/>
              <w:right w:val="single" w:color="000000" w:sz="10" w:space="0"/>
            </w:tcBorders>
            <w:shd w:val="clear" w:color="auto" w:fill="FFFFFF"/>
            <w:vAlign w:val="center"/>
          </w:tcPr>
          <w:p w14:paraId="1A2E1DD8">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金额（元）</w:t>
            </w:r>
          </w:p>
        </w:tc>
      </w:tr>
      <w:tr w14:paraId="529317B9">
        <w:tblPrEx>
          <w:tblCellMar>
            <w:top w:w="0" w:type="dxa"/>
            <w:left w:w="0" w:type="dxa"/>
            <w:bottom w:w="0" w:type="dxa"/>
            <w:right w:w="0" w:type="dxa"/>
          </w:tblCellMar>
        </w:tblPrEx>
        <w:trPr>
          <w:trHeight w:val="301" w:hRule="exact"/>
        </w:trPr>
        <w:tc>
          <w:tcPr>
            <w:tcW w:w="544" w:type="dxa"/>
            <w:vMerge w:val="continue"/>
            <w:tcBorders>
              <w:top w:val="single" w:color="auto" w:sz="4" w:space="0"/>
              <w:left w:val="single" w:color="000000" w:sz="10" w:space="0"/>
              <w:bottom w:val="single" w:color="auto" w:sz="4" w:space="0"/>
              <w:right w:val="single" w:color="000000" w:sz="4" w:space="0"/>
            </w:tcBorders>
            <w:shd w:val="clear" w:color="auto" w:fill="FFFFFF"/>
            <w:vAlign w:val="center"/>
          </w:tcPr>
          <w:p w14:paraId="1F3E2DA6">
            <w:pPr>
              <w:rPr>
                <w:color w:val="auto"/>
                <w:highlight w:val="none"/>
              </w:rPr>
            </w:pPr>
          </w:p>
        </w:tc>
        <w:tc>
          <w:tcPr>
            <w:tcW w:w="888"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3DBF3189">
            <w:pPr>
              <w:rPr>
                <w:color w:val="auto"/>
                <w:highlight w:val="none"/>
              </w:rPr>
            </w:pPr>
          </w:p>
        </w:tc>
        <w:tc>
          <w:tcPr>
            <w:tcW w:w="1182"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3B660AC6">
            <w:pPr>
              <w:rPr>
                <w:color w:val="auto"/>
                <w:highlight w:val="none"/>
              </w:rPr>
            </w:pPr>
          </w:p>
        </w:tc>
        <w:tc>
          <w:tcPr>
            <w:tcW w:w="2894"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2CB00320">
            <w:pPr>
              <w:rPr>
                <w:color w:val="auto"/>
                <w:highlight w:val="none"/>
              </w:rPr>
            </w:pPr>
          </w:p>
        </w:tc>
        <w:tc>
          <w:tcPr>
            <w:tcW w:w="823"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18399188">
            <w:pPr>
              <w:rPr>
                <w:color w:val="auto"/>
                <w:highlight w:val="none"/>
              </w:rPr>
            </w:pPr>
          </w:p>
        </w:tc>
        <w:tc>
          <w:tcPr>
            <w:tcW w:w="837"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58BD8471">
            <w:pPr>
              <w:jc w:val="center"/>
              <w:rPr>
                <w:color w:val="auto"/>
                <w:highlight w:val="none"/>
              </w:rPr>
            </w:pPr>
          </w:p>
        </w:tc>
        <w:tc>
          <w:tcPr>
            <w:tcW w:w="1168" w:type="dxa"/>
            <w:gridSpan w:val="3"/>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114DE32A">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综合单价</w:t>
            </w:r>
          </w:p>
        </w:tc>
        <w:tc>
          <w:tcPr>
            <w:tcW w:w="1141" w:type="dxa"/>
            <w:gridSpan w:val="2"/>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5E787B7A">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合价</w:t>
            </w:r>
          </w:p>
        </w:tc>
        <w:tc>
          <w:tcPr>
            <w:tcW w:w="969" w:type="dxa"/>
            <w:tcBorders>
              <w:top w:val="single" w:color="auto" w:sz="4" w:space="0"/>
              <w:left w:val="single" w:color="000000" w:sz="4" w:space="0"/>
              <w:bottom w:val="single" w:color="auto" w:sz="4" w:space="0"/>
              <w:right w:val="single" w:color="000000" w:sz="10" w:space="0"/>
            </w:tcBorders>
            <w:shd w:val="clear" w:color="auto" w:fill="FFFFFF"/>
            <w:vAlign w:val="center"/>
          </w:tcPr>
          <w:p w14:paraId="150AC4EB">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其中</w:t>
            </w:r>
          </w:p>
        </w:tc>
      </w:tr>
      <w:tr w14:paraId="1EEFCE39">
        <w:tblPrEx>
          <w:tblCellMar>
            <w:top w:w="0" w:type="dxa"/>
            <w:left w:w="0" w:type="dxa"/>
            <w:bottom w:w="0" w:type="dxa"/>
            <w:right w:w="0" w:type="dxa"/>
          </w:tblCellMar>
        </w:tblPrEx>
        <w:trPr>
          <w:trHeight w:val="287" w:hRule="exact"/>
        </w:trPr>
        <w:tc>
          <w:tcPr>
            <w:tcW w:w="544" w:type="dxa"/>
            <w:vMerge w:val="continue"/>
            <w:tcBorders>
              <w:top w:val="single" w:color="auto" w:sz="4" w:space="0"/>
              <w:left w:val="single" w:color="000000" w:sz="10" w:space="0"/>
              <w:bottom w:val="single" w:color="000000" w:sz="4" w:space="0"/>
              <w:right w:val="single" w:color="000000" w:sz="4" w:space="0"/>
            </w:tcBorders>
            <w:shd w:val="clear" w:color="auto" w:fill="FFFFFF"/>
            <w:vAlign w:val="center"/>
          </w:tcPr>
          <w:p w14:paraId="3362DE92">
            <w:pPr>
              <w:rPr>
                <w:color w:val="auto"/>
                <w:highlight w:val="none"/>
              </w:rPr>
            </w:pPr>
          </w:p>
        </w:tc>
        <w:tc>
          <w:tcPr>
            <w:tcW w:w="888"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75E8F0C3">
            <w:pPr>
              <w:rPr>
                <w:color w:val="auto"/>
                <w:highlight w:val="none"/>
              </w:rPr>
            </w:pPr>
          </w:p>
        </w:tc>
        <w:tc>
          <w:tcPr>
            <w:tcW w:w="1182"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2D254287">
            <w:pPr>
              <w:rPr>
                <w:color w:val="auto"/>
                <w:highlight w:val="none"/>
              </w:rPr>
            </w:pPr>
          </w:p>
        </w:tc>
        <w:tc>
          <w:tcPr>
            <w:tcW w:w="2894"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0BB90C8B">
            <w:pPr>
              <w:rPr>
                <w:color w:val="auto"/>
                <w:highlight w:val="none"/>
              </w:rPr>
            </w:pPr>
          </w:p>
        </w:tc>
        <w:tc>
          <w:tcPr>
            <w:tcW w:w="823"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0FE29BA8">
            <w:pPr>
              <w:rPr>
                <w:color w:val="auto"/>
                <w:highlight w:val="none"/>
              </w:rPr>
            </w:pPr>
          </w:p>
        </w:tc>
        <w:tc>
          <w:tcPr>
            <w:tcW w:w="837"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32DB2BBC">
            <w:pPr>
              <w:jc w:val="center"/>
              <w:rPr>
                <w:color w:val="auto"/>
                <w:highlight w:val="none"/>
              </w:rPr>
            </w:pPr>
          </w:p>
        </w:tc>
        <w:tc>
          <w:tcPr>
            <w:tcW w:w="1168" w:type="dxa"/>
            <w:gridSpan w:val="3"/>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41DB8233">
            <w:pPr>
              <w:rPr>
                <w:color w:val="auto"/>
                <w:highlight w:val="none"/>
              </w:rPr>
            </w:pPr>
          </w:p>
        </w:tc>
        <w:tc>
          <w:tcPr>
            <w:tcW w:w="1141" w:type="dxa"/>
            <w:gridSpan w:val="2"/>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0A62B1CF">
            <w:pPr>
              <w:rPr>
                <w:color w:val="auto"/>
                <w:highlight w:val="none"/>
              </w:rPr>
            </w:pPr>
          </w:p>
        </w:tc>
        <w:tc>
          <w:tcPr>
            <w:tcW w:w="969" w:type="dxa"/>
            <w:tcBorders>
              <w:top w:val="single" w:color="auto" w:sz="4" w:space="0"/>
              <w:left w:val="single" w:color="000000" w:sz="4" w:space="0"/>
              <w:bottom w:val="single" w:color="000000" w:sz="4" w:space="0"/>
              <w:right w:val="single" w:color="000000" w:sz="10" w:space="0"/>
            </w:tcBorders>
            <w:shd w:val="clear" w:color="auto" w:fill="FFFFFF"/>
            <w:vAlign w:val="center"/>
          </w:tcPr>
          <w:p w14:paraId="59F9D255">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暂估价</w:t>
            </w:r>
          </w:p>
        </w:tc>
      </w:tr>
      <w:tr w14:paraId="03B4E0C3">
        <w:tblPrEx>
          <w:tblCellMar>
            <w:top w:w="0" w:type="dxa"/>
            <w:left w:w="0" w:type="dxa"/>
            <w:bottom w:w="0" w:type="dxa"/>
            <w:right w:w="0" w:type="dxa"/>
          </w:tblCellMar>
        </w:tblPrEx>
        <w:trPr>
          <w:trHeight w:val="1060" w:hRule="exact"/>
        </w:trPr>
        <w:tc>
          <w:tcPr>
            <w:tcW w:w="544" w:type="dxa"/>
            <w:vMerge w:val="restart"/>
            <w:tcBorders>
              <w:top w:val="single" w:color="000000" w:sz="4" w:space="0"/>
              <w:left w:val="single" w:color="000000" w:sz="10" w:space="0"/>
              <w:bottom w:val="single" w:color="000000" w:sz="4" w:space="0"/>
              <w:right w:val="single" w:color="000000" w:sz="4" w:space="0"/>
            </w:tcBorders>
            <w:shd w:val="clear" w:color="auto" w:fill="auto"/>
            <w:vAlign w:val="center"/>
          </w:tcPr>
          <w:p w14:paraId="4AC0B49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w:t>
            </w:r>
          </w:p>
        </w:tc>
        <w:tc>
          <w:tcPr>
            <w:tcW w:w="8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5FF89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030410004001</w:t>
            </w:r>
          </w:p>
        </w:tc>
        <w:tc>
          <w:tcPr>
            <w:tcW w:w="11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23611B">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杆上设备</w:t>
            </w:r>
          </w:p>
        </w:tc>
        <w:tc>
          <w:tcPr>
            <w:tcW w:w="289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31E1A6">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名称：柱上断路器</w:t>
            </w:r>
          </w:p>
          <w:p w14:paraId="63D5E20A">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2.</w:t>
            </w:r>
            <w:r>
              <w:rPr>
                <w:rFonts w:ascii="宋体" w:hAnsi="宋体" w:eastAsia="宋体" w:cs="宋体"/>
                <w:color w:val="auto"/>
                <w:spacing w:val="-2"/>
                <w:sz w:val="21"/>
                <w:highlight w:val="none"/>
              </w:rPr>
              <w:t>规格：AC10kV,630A,20kA</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真空灭弧</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用户分界</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空气绝缘</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有隔离刀闸</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 xml:space="preserve"> 电动</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弹簧</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支柱式</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罩式FTU</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电磁式互感器</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单侧PT</w:t>
            </w:r>
          </w:p>
        </w:tc>
        <w:tc>
          <w:tcPr>
            <w:tcW w:w="8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0F6C0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台</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组</w:t>
            </w:r>
            <w:r>
              <w:rPr>
                <w:rFonts w:hint="eastAsia" w:ascii="宋体" w:hAnsi="宋体" w:cs="宋体"/>
                <w:color w:val="auto"/>
                <w:spacing w:val="-2"/>
                <w:sz w:val="21"/>
                <w:highlight w:val="none"/>
                <w:lang w:eastAsia="zh-CN"/>
              </w:rPr>
              <w:t>）</w:t>
            </w:r>
          </w:p>
        </w:tc>
        <w:tc>
          <w:tcPr>
            <w:tcW w:w="8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DAC1E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5</w:t>
            </w:r>
          </w:p>
        </w:tc>
        <w:tc>
          <w:tcPr>
            <w:tcW w:w="1168"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28ACC3">
            <w:pPr>
              <w:spacing w:line="232" w:lineRule="auto"/>
              <w:jc w:val="right"/>
              <w:rPr>
                <w:rFonts w:ascii="宋体" w:hAnsi="宋体" w:eastAsia="宋体" w:cs="宋体"/>
                <w:color w:val="auto"/>
                <w:spacing w:val="-2"/>
                <w:sz w:val="21"/>
                <w:highlight w:val="none"/>
              </w:rPr>
            </w:pPr>
          </w:p>
        </w:tc>
        <w:tc>
          <w:tcPr>
            <w:tcW w:w="114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3066E5">
            <w:pPr>
              <w:spacing w:line="232" w:lineRule="auto"/>
              <w:jc w:val="right"/>
              <w:rPr>
                <w:rFonts w:ascii="宋体" w:hAnsi="宋体" w:eastAsia="宋体" w:cs="宋体"/>
                <w:color w:val="auto"/>
                <w:spacing w:val="-2"/>
                <w:sz w:val="21"/>
                <w:highlight w:val="none"/>
              </w:rPr>
            </w:pPr>
          </w:p>
        </w:tc>
        <w:tc>
          <w:tcPr>
            <w:tcW w:w="969" w:type="dxa"/>
            <w:vMerge w:val="restart"/>
            <w:tcBorders>
              <w:top w:val="single" w:color="000000" w:sz="4" w:space="0"/>
              <w:left w:val="single" w:color="000000" w:sz="4" w:space="0"/>
              <w:bottom w:val="single" w:color="000000" w:sz="4" w:space="0"/>
              <w:right w:val="single" w:color="000000" w:sz="10" w:space="0"/>
            </w:tcBorders>
            <w:shd w:val="clear" w:color="auto" w:fill="auto"/>
            <w:vAlign w:val="center"/>
          </w:tcPr>
          <w:p w14:paraId="11840C6A">
            <w:pPr>
              <w:spacing w:line="232" w:lineRule="auto"/>
              <w:jc w:val="right"/>
              <w:rPr>
                <w:rFonts w:ascii="宋体" w:hAnsi="宋体" w:eastAsia="宋体" w:cs="宋体"/>
                <w:color w:val="auto"/>
                <w:spacing w:val="-2"/>
                <w:sz w:val="21"/>
                <w:highlight w:val="none"/>
              </w:rPr>
            </w:pPr>
          </w:p>
        </w:tc>
      </w:tr>
      <w:tr w14:paraId="419F2659">
        <w:tblPrEx>
          <w:tblCellMar>
            <w:top w:w="0" w:type="dxa"/>
            <w:left w:w="0" w:type="dxa"/>
            <w:bottom w:w="0" w:type="dxa"/>
            <w:right w:w="0" w:type="dxa"/>
          </w:tblCellMar>
        </w:tblPrEx>
        <w:trPr>
          <w:trHeight w:val="389" w:hRule="exact"/>
        </w:trPr>
        <w:tc>
          <w:tcPr>
            <w:tcW w:w="544" w:type="dxa"/>
            <w:vMerge w:val="continue"/>
            <w:tcBorders>
              <w:top w:val="single" w:color="000000" w:sz="4" w:space="0"/>
              <w:left w:val="single" w:color="000000" w:sz="10" w:space="0"/>
              <w:bottom w:val="single" w:color="000000" w:sz="4" w:space="0"/>
              <w:right w:val="single" w:color="000000" w:sz="4" w:space="0"/>
            </w:tcBorders>
            <w:shd w:val="clear" w:color="auto" w:fill="auto"/>
            <w:vAlign w:val="center"/>
          </w:tcPr>
          <w:p w14:paraId="25E7989C">
            <w:pPr>
              <w:rPr>
                <w:color w:val="auto"/>
                <w:highlight w:val="none"/>
              </w:rPr>
            </w:pPr>
          </w:p>
        </w:tc>
        <w:tc>
          <w:tcPr>
            <w:tcW w:w="8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5B0519">
            <w:pPr>
              <w:rPr>
                <w:color w:val="auto"/>
                <w:highlight w:val="none"/>
              </w:rPr>
            </w:pPr>
          </w:p>
        </w:tc>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CE45FB">
            <w:pPr>
              <w:rPr>
                <w:color w:val="auto"/>
                <w:highlight w:val="none"/>
              </w:rPr>
            </w:pPr>
          </w:p>
        </w:tc>
        <w:tc>
          <w:tcPr>
            <w:tcW w:w="28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8E60A">
            <w:pPr>
              <w:rPr>
                <w:color w:val="auto"/>
                <w:highlight w:val="none"/>
              </w:rPr>
            </w:pPr>
          </w:p>
        </w:tc>
        <w:tc>
          <w:tcPr>
            <w:tcW w:w="8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FC147">
            <w:pPr>
              <w:rPr>
                <w:color w:val="auto"/>
                <w:highlight w:val="none"/>
              </w:rPr>
            </w:pPr>
          </w:p>
        </w:tc>
        <w:tc>
          <w:tcPr>
            <w:tcW w:w="8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E23F93">
            <w:pPr>
              <w:jc w:val="center"/>
              <w:rPr>
                <w:color w:val="auto"/>
                <w:highlight w:val="none"/>
              </w:rPr>
            </w:pPr>
          </w:p>
        </w:tc>
        <w:tc>
          <w:tcPr>
            <w:tcW w:w="1168"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513579">
            <w:pPr>
              <w:rPr>
                <w:color w:val="auto"/>
                <w:highlight w:val="none"/>
              </w:rPr>
            </w:pPr>
          </w:p>
        </w:tc>
        <w:tc>
          <w:tcPr>
            <w:tcW w:w="11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9AD883">
            <w:pPr>
              <w:rPr>
                <w:color w:val="auto"/>
                <w:highlight w:val="none"/>
              </w:rPr>
            </w:pPr>
          </w:p>
        </w:tc>
        <w:tc>
          <w:tcPr>
            <w:tcW w:w="969" w:type="dxa"/>
            <w:vMerge w:val="continue"/>
            <w:tcBorders>
              <w:top w:val="single" w:color="000000" w:sz="4" w:space="0"/>
              <w:left w:val="single" w:color="000000" w:sz="4" w:space="0"/>
              <w:bottom w:val="single" w:color="000000" w:sz="4" w:space="0"/>
              <w:right w:val="single" w:color="000000" w:sz="10" w:space="0"/>
            </w:tcBorders>
            <w:shd w:val="clear" w:color="auto" w:fill="auto"/>
            <w:vAlign w:val="center"/>
          </w:tcPr>
          <w:p w14:paraId="14BBF623">
            <w:pPr>
              <w:rPr>
                <w:color w:val="auto"/>
                <w:highlight w:val="none"/>
              </w:rPr>
            </w:pPr>
          </w:p>
        </w:tc>
      </w:tr>
      <w:tr w14:paraId="5381C2F0">
        <w:tblPrEx>
          <w:tblCellMar>
            <w:top w:w="0" w:type="dxa"/>
            <w:left w:w="0" w:type="dxa"/>
            <w:bottom w:w="0" w:type="dxa"/>
            <w:right w:w="0" w:type="dxa"/>
          </w:tblCellMar>
        </w:tblPrEx>
        <w:trPr>
          <w:trHeight w:val="945"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4A7CDC9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78D7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030410001001</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86920">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钢管杆组立</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FC678">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名称：钢管杆</w:t>
            </w:r>
          </w:p>
          <w:p w14:paraId="0B00E747">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2.</w:t>
            </w:r>
            <w:r>
              <w:rPr>
                <w:rFonts w:ascii="宋体" w:hAnsi="宋体" w:eastAsia="宋体" w:cs="宋体"/>
                <w:color w:val="auto"/>
                <w:spacing w:val="-2"/>
                <w:sz w:val="21"/>
                <w:highlight w:val="none"/>
              </w:rPr>
              <w:t>规格：Q355-10kV双回分支带低压（10t）</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1895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根</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基</w:t>
            </w:r>
            <w:r>
              <w:rPr>
                <w:rFonts w:hint="eastAsia" w:ascii="宋体" w:hAnsi="宋体" w:cs="宋体"/>
                <w:color w:val="auto"/>
                <w:spacing w:val="-2"/>
                <w:sz w:val="21"/>
                <w:highlight w:val="none"/>
                <w:lang w:eastAsia="zh-CN"/>
              </w:rPr>
              <w:t>）</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63C7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4</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EE63A46">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7FFA8E">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7C00EC29">
            <w:pPr>
              <w:spacing w:line="232" w:lineRule="auto"/>
              <w:jc w:val="right"/>
              <w:rPr>
                <w:rFonts w:ascii="宋体" w:hAnsi="宋体" w:eastAsia="宋体" w:cs="宋体"/>
                <w:color w:val="auto"/>
                <w:spacing w:val="-2"/>
                <w:sz w:val="21"/>
                <w:highlight w:val="none"/>
              </w:rPr>
            </w:pPr>
          </w:p>
        </w:tc>
      </w:tr>
      <w:tr w14:paraId="55F31A26">
        <w:tblPrEx>
          <w:tblCellMar>
            <w:top w:w="0" w:type="dxa"/>
            <w:left w:w="0" w:type="dxa"/>
            <w:bottom w:w="0" w:type="dxa"/>
            <w:right w:w="0" w:type="dxa"/>
          </w:tblCellMar>
        </w:tblPrEx>
        <w:trPr>
          <w:trHeight w:val="728"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34554A3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C263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010516001001</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96181">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钢管杆地脚螺栓</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54310">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螺栓种类：钢管杆地脚螺栓</w:t>
            </w:r>
          </w:p>
          <w:p w14:paraId="122EFFA8">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2.</w:t>
            </w:r>
            <w:r>
              <w:rPr>
                <w:rFonts w:ascii="宋体" w:hAnsi="宋体" w:eastAsia="宋体" w:cs="宋体"/>
                <w:color w:val="auto"/>
                <w:spacing w:val="-2"/>
                <w:sz w:val="21"/>
                <w:highlight w:val="none"/>
              </w:rPr>
              <w:t>规格：1.8吨/基</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B424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t</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615A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7.2</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8A43CD3">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51291E">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7E7DE216">
            <w:pPr>
              <w:spacing w:line="232" w:lineRule="auto"/>
              <w:jc w:val="right"/>
              <w:rPr>
                <w:rFonts w:ascii="宋体" w:hAnsi="宋体" w:eastAsia="宋体" w:cs="宋体"/>
                <w:color w:val="auto"/>
                <w:spacing w:val="-2"/>
                <w:sz w:val="21"/>
                <w:highlight w:val="none"/>
              </w:rPr>
            </w:pPr>
          </w:p>
        </w:tc>
      </w:tr>
      <w:tr w14:paraId="2E6320B3">
        <w:tblPrEx>
          <w:tblCellMar>
            <w:top w:w="0" w:type="dxa"/>
            <w:left w:w="0" w:type="dxa"/>
            <w:bottom w:w="0" w:type="dxa"/>
            <w:right w:w="0" w:type="dxa"/>
          </w:tblCellMar>
        </w:tblPrEx>
        <w:trPr>
          <w:trHeight w:val="1200"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649A926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4</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035B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030410001040</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579FF">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电杆组立</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873B2">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名称：锥形水泥杆</w:t>
            </w:r>
          </w:p>
          <w:p w14:paraId="69574C24">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2.</w:t>
            </w:r>
            <w:r>
              <w:rPr>
                <w:rFonts w:ascii="宋体" w:hAnsi="宋体" w:eastAsia="宋体" w:cs="宋体"/>
                <w:color w:val="auto"/>
                <w:spacing w:val="-2"/>
                <w:sz w:val="21"/>
                <w:highlight w:val="none"/>
              </w:rPr>
              <w:t>规格：非预应力</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杆型</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整根杆</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杆长m:10m</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梢径mm:190mm</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强度等级</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K</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9B7A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根</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基</w:t>
            </w:r>
            <w:r>
              <w:rPr>
                <w:rFonts w:hint="eastAsia" w:ascii="宋体" w:hAnsi="宋体" w:cs="宋体"/>
                <w:color w:val="auto"/>
                <w:spacing w:val="-2"/>
                <w:sz w:val="21"/>
                <w:highlight w:val="none"/>
                <w:lang w:eastAsia="zh-CN"/>
              </w:rPr>
              <w:t>）</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BC50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6319D9F">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317D5F">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174C0E7F">
            <w:pPr>
              <w:spacing w:line="232" w:lineRule="auto"/>
              <w:jc w:val="right"/>
              <w:rPr>
                <w:rFonts w:ascii="宋体" w:hAnsi="宋体" w:eastAsia="宋体" w:cs="宋体"/>
                <w:color w:val="auto"/>
                <w:spacing w:val="-2"/>
                <w:sz w:val="21"/>
                <w:highlight w:val="none"/>
              </w:rPr>
            </w:pPr>
          </w:p>
        </w:tc>
      </w:tr>
      <w:tr w14:paraId="2BC49054">
        <w:trPr>
          <w:trHeight w:val="1211"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2D25A46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5</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8FCA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030410001041</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6A054">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电杆组立</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96439">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名称：锥形水泥杆</w:t>
            </w:r>
          </w:p>
          <w:p w14:paraId="1F061361">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2.</w:t>
            </w:r>
            <w:r>
              <w:rPr>
                <w:rFonts w:ascii="宋体" w:hAnsi="宋体" w:eastAsia="宋体" w:cs="宋体"/>
                <w:color w:val="auto"/>
                <w:spacing w:val="-2"/>
                <w:sz w:val="21"/>
                <w:highlight w:val="none"/>
              </w:rPr>
              <w:t>规格：非预应力</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杆型</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整根杆</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杆长m:15m</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梢径mm:190mm</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强度等级</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F</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FBFA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根</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基</w:t>
            </w:r>
            <w:r>
              <w:rPr>
                <w:rFonts w:hint="eastAsia" w:ascii="宋体" w:hAnsi="宋体" w:cs="宋体"/>
                <w:color w:val="auto"/>
                <w:spacing w:val="-2"/>
                <w:sz w:val="21"/>
                <w:highlight w:val="none"/>
                <w:lang w:eastAsia="zh-CN"/>
              </w:rPr>
              <w:t>）</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2122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7F488F">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6FCD08">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1531517E">
            <w:pPr>
              <w:spacing w:line="232" w:lineRule="auto"/>
              <w:jc w:val="right"/>
              <w:rPr>
                <w:rFonts w:ascii="宋体" w:hAnsi="宋体" w:eastAsia="宋体" w:cs="宋体"/>
                <w:color w:val="auto"/>
                <w:spacing w:val="-2"/>
                <w:sz w:val="21"/>
                <w:highlight w:val="none"/>
              </w:rPr>
            </w:pPr>
          </w:p>
        </w:tc>
      </w:tr>
      <w:tr w14:paraId="1466A46D">
        <w:tblPrEx>
          <w:tblCellMar>
            <w:top w:w="0" w:type="dxa"/>
            <w:left w:w="0" w:type="dxa"/>
            <w:bottom w:w="0" w:type="dxa"/>
            <w:right w:w="0" w:type="dxa"/>
          </w:tblCellMar>
        </w:tblPrEx>
        <w:trPr>
          <w:trHeight w:val="1060" w:hRule="exact"/>
        </w:trPr>
        <w:tc>
          <w:tcPr>
            <w:tcW w:w="544" w:type="dxa"/>
            <w:vMerge w:val="restart"/>
            <w:tcBorders>
              <w:top w:val="single" w:color="000000" w:sz="4" w:space="0"/>
              <w:left w:val="single" w:color="000000" w:sz="10" w:space="0"/>
              <w:bottom w:val="single" w:color="000000" w:sz="4" w:space="0"/>
              <w:right w:val="single" w:color="000000" w:sz="4" w:space="0"/>
            </w:tcBorders>
            <w:shd w:val="clear" w:color="auto" w:fill="auto"/>
            <w:vAlign w:val="center"/>
          </w:tcPr>
          <w:p w14:paraId="5C48739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w:t>
            </w:r>
          </w:p>
        </w:tc>
        <w:tc>
          <w:tcPr>
            <w:tcW w:w="8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DAD08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030410001002</w:t>
            </w:r>
          </w:p>
        </w:tc>
        <w:tc>
          <w:tcPr>
            <w:tcW w:w="11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D64A88">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电杆组立</w:t>
            </w:r>
          </w:p>
        </w:tc>
        <w:tc>
          <w:tcPr>
            <w:tcW w:w="289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582028">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名称：锥形水泥杆</w:t>
            </w:r>
          </w:p>
          <w:p w14:paraId="52379A60">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2.</w:t>
            </w:r>
            <w:r>
              <w:rPr>
                <w:rFonts w:ascii="宋体" w:hAnsi="宋体" w:eastAsia="宋体" w:cs="宋体"/>
                <w:color w:val="auto"/>
                <w:spacing w:val="-2"/>
                <w:sz w:val="21"/>
                <w:highlight w:val="none"/>
              </w:rPr>
              <w:t>规格：非预应力</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杆型</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法兰组装杆</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杆长m:18m</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梢径mm:230mm</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强度等级</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M</w:t>
            </w:r>
          </w:p>
          <w:p w14:paraId="24C95D44">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3、底盘、卡盘规格：800×800×200、800×400</w:t>
            </w:r>
          </w:p>
        </w:tc>
        <w:tc>
          <w:tcPr>
            <w:tcW w:w="8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04A41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根</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基</w:t>
            </w:r>
            <w:r>
              <w:rPr>
                <w:rFonts w:hint="eastAsia" w:ascii="宋体" w:hAnsi="宋体" w:cs="宋体"/>
                <w:color w:val="auto"/>
                <w:spacing w:val="-2"/>
                <w:sz w:val="21"/>
                <w:highlight w:val="none"/>
                <w:lang w:eastAsia="zh-CN"/>
              </w:rPr>
              <w:t>）</w:t>
            </w:r>
          </w:p>
        </w:tc>
        <w:tc>
          <w:tcPr>
            <w:tcW w:w="8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BD779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9</w:t>
            </w:r>
          </w:p>
        </w:tc>
        <w:tc>
          <w:tcPr>
            <w:tcW w:w="1168"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295C02">
            <w:pPr>
              <w:spacing w:line="232" w:lineRule="auto"/>
              <w:jc w:val="right"/>
              <w:rPr>
                <w:rFonts w:ascii="宋体" w:hAnsi="宋体" w:eastAsia="宋体" w:cs="宋体"/>
                <w:color w:val="auto"/>
                <w:spacing w:val="-2"/>
                <w:sz w:val="21"/>
                <w:highlight w:val="none"/>
              </w:rPr>
            </w:pPr>
          </w:p>
        </w:tc>
        <w:tc>
          <w:tcPr>
            <w:tcW w:w="114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ED3B9D">
            <w:pPr>
              <w:spacing w:line="232" w:lineRule="auto"/>
              <w:jc w:val="right"/>
              <w:rPr>
                <w:rFonts w:ascii="宋体" w:hAnsi="宋体" w:eastAsia="宋体" w:cs="宋体"/>
                <w:color w:val="auto"/>
                <w:spacing w:val="-2"/>
                <w:sz w:val="21"/>
                <w:highlight w:val="none"/>
              </w:rPr>
            </w:pPr>
          </w:p>
        </w:tc>
        <w:tc>
          <w:tcPr>
            <w:tcW w:w="969" w:type="dxa"/>
            <w:vMerge w:val="restart"/>
            <w:tcBorders>
              <w:top w:val="single" w:color="000000" w:sz="4" w:space="0"/>
              <w:left w:val="single" w:color="000000" w:sz="4" w:space="0"/>
              <w:bottom w:val="single" w:color="000000" w:sz="4" w:space="0"/>
              <w:right w:val="single" w:color="000000" w:sz="10" w:space="0"/>
            </w:tcBorders>
            <w:shd w:val="clear" w:color="auto" w:fill="auto"/>
            <w:vAlign w:val="center"/>
          </w:tcPr>
          <w:p w14:paraId="6008F349">
            <w:pPr>
              <w:spacing w:line="232" w:lineRule="auto"/>
              <w:jc w:val="right"/>
              <w:rPr>
                <w:rFonts w:ascii="宋体" w:hAnsi="宋体" w:eastAsia="宋体" w:cs="宋体"/>
                <w:color w:val="auto"/>
                <w:spacing w:val="-2"/>
                <w:sz w:val="21"/>
                <w:highlight w:val="none"/>
              </w:rPr>
            </w:pPr>
          </w:p>
        </w:tc>
      </w:tr>
      <w:tr w14:paraId="08289FA3">
        <w:tblPrEx>
          <w:tblCellMar>
            <w:top w:w="0" w:type="dxa"/>
            <w:left w:w="0" w:type="dxa"/>
            <w:bottom w:w="0" w:type="dxa"/>
            <w:right w:w="0" w:type="dxa"/>
          </w:tblCellMar>
        </w:tblPrEx>
        <w:trPr>
          <w:trHeight w:val="768" w:hRule="exact"/>
        </w:trPr>
        <w:tc>
          <w:tcPr>
            <w:tcW w:w="544" w:type="dxa"/>
            <w:vMerge w:val="continue"/>
            <w:tcBorders>
              <w:top w:val="single" w:color="000000" w:sz="4" w:space="0"/>
              <w:left w:val="single" w:color="000000" w:sz="10" w:space="0"/>
              <w:bottom w:val="single" w:color="000000" w:sz="4" w:space="0"/>
              <w:right w:val="single" w:color="000000" w:sz="4" w:space="0"/>
            </w:tcBorders>
            <w:shd w:val="clear" w:color="auto" w:fill="auto"/>
            <w:vAlign w:val="center"/>
          </w:tcPr>
          <w:p w14:paraId="0B14C154">
            <w:pPr>
              <w:rPr>
                <w:color w:val="auto"/>
                <w:highlight w:val="none"/>
              </w:rPr>
            </w:pPr>
          </w:p>
        </w:tc>
        <w:tc>
          <w:tcPr>
            <w:tcW w:w="8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011343">
            <w:pPr>
              <w:rPr>
                <w:color w:val="auto"/>
                <w:highlight w:val="none"/>
              </w:rPr>
            </w:pPr>
          </w:p>
        </w:tc>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250267">
            <w:pPr>
              <w:rPr>
                <w:color w:val="auto"/>
                <w:highlight w:val="none"/>
              </w:rPr>
            </w:pPr>
          </w:p>
        </w:tc>
        <w:tc>
          <w:tcPr>
            <w:tcW w:w="28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87E988">
            <w:pPr>
              <w:rPr>
                <w:color w:val="auto"/>
                <w:highlight w:val="none"/>
              </w:rPr>
            </w:pPr>
          </w:p>
        </w:tc>
        <w:tc>
          <w:tcPr>
            <w:tcW w:w="8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310F4">
            <w:pPr>
              <w:rPr>
                <w:color w:val="auto"/>
                <w:highlight w:val="none"/>
              </w:rPr>
            </w:pPr>
          </w:p>
        </w:tc>
        <w:tc>
          <w:tcPr>
            <w:tcW w:w="8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EF1D34">
            <w:pPr>
              <w:jc w:val="center"/>
              <w:rPr>
                <w:color w:val="auto"/>
                <w:highlight w:val="none"/>
              </w:rPr>
            </w:pPr>
          </w:p>
        </w:tc>
        <w:tc>
          <w:tcPr>
            <w:tcW w:w="1168"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01A4DB">
            <w:pPr>
              <w:rPr>
                <w:color w:val="auto"/>
                <w:highlight w:val="none"/>
              </w:rPr>
            </w:pPr>
          </w:p>
        </w:tc>
        <w:tc>
          <w:tcPr>
            <w:tcW w:w="11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CFA0A9">
            <w:pPr>
              <w:rPr>
                <w:color w:val="auto"/>
                <w:highlight w:val="none"/>
              </w:rPr>
            </w:pPr>
          </w:p>
        </w:tc>
        <w:tc>
          <w:tcPr>
            <w:tcW w:w="969" w:type="dxa"/>
            <w:vMerge w:val="continue"/>
            <w:tcBorders>
              <w:top w:val="single" w:color="000000" w:sz="4" w:space="0"/>
              <w:left w:val="single" w:color="000000" w:sz="4" w:space="0"/>
              <w:bottom w:val="single" w:color="000000" w:sz="4" w:space="0"/>
              <w:right w:val="single" w:color="000000" w:sz="10" w:space="0"/>
            </w:tcBorders>
            <w:shd w:val="clear" w:color="auto" w:fill="auto"/>
            <w:vAlign w:val="center"/>
          </w:tcPr>
          <w:p w14:paraId="51C64B06">
            <w:pPr>
              <w:rPr>
                <w:color w:val="auto"/>
                <w:highlight w:val="none"/>
              </w:rPr>
            </w:pPr>
          </w:p>
        </w:tc>
      </w:tr>
      <w:tr w14:paraId="0B674EBE">
        <w:tblPrEx>
          <w:tblCellMar>
            <w:top w:w="0" w:type="dxa"/>
            <w:left w:w="0" w:type="dxa"/>
            <w:bottom w:w="0" w:type="dxa"/>
            <w:right w:w="0" w:type="dxa"/>
          </w:tblCellMar>
        </w:tblPrEx>
        <w:trPr>
          <w:trHeight w:val="660"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71B29AC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7</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5646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030408001013</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E20E7">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电力电缆</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EADB2">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ZC-YJV22-8.7/15kV-3*400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2EA0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m</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3B2E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780</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0BD0796">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5FEB2E">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16C8410E">
            <w:pPr>
              <w:spacing w:line="232" w:lineRule="auto"/>
              <w:jc w:val="right"/>
              <w:rPr>
                <w:rFonts w:ascii="宋体" w:hAnsi="宋体" w:eastAsia="宋体" w:cs="宋体"/>
                <w:color w:val="auto"/>
                <w:spacing w:val="-2"/>
                <w:sz w:val="21"/>
                <w:highlight w:val="none"/>
              </w:rPr>
            </w:pPr>
          </w:p>
        </w:tc>
      </w:tr>
      <w:tr w14:paraId="02C9CBF6">
        <w:tblPrEx>
          <w:tblCellMar>
            <w:top w:w="0" w:type="dxa"/>
            <w:left w:w="0" w:type="dxa"/>
            <w:bottom w:w="0" w:type="dxa"/>
            <w:right w:w="0" w:type="dxa"/>
          </w:tblCellMar>
        </w:tblPrEx>
        <w:trPr>
          <w:trHeight w:val="693"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211041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8</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1CD6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030408006005</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20B86">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电力电缆头</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8133F">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(300-400</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平方（含铜端子）</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C215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3CC8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8</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8B2EE5C">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664FEE">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3835408A">
            <w:pPr>
              <w:spacing w:line="232" w:lineRule="auto"/>
              <w:jc w:val="right"/>
              <w:rPr>
                <w:rFonts w:ascii="宋体" w:hAnsi="宋体" w:eastAsia="宋体" w:cs="宋体"/>
                <w:color w:val="auto"/>
                <w:spacing w:val="-2"/>
                <w:sz w:val="21"/>
                <w:highlight w:val="none"/>
              </w:rPr>
            </w:pPr>
          </w:p>
        </w:tc>
      </w:tr>
      <w:tr w14:paraId="675AE4AA">
        <w:tblPrEx>
          <w:tblCellMar>
            <w:top w:w="0" w:type="dxa"/>
            <w:left w:w="0" w:type="dxa"/>
            <w:bottom w:w="0" w:type="dxa"/>
            <w:right w:w="0" w:type="dxa"/>
          </w:tblCellMar>
        </w:tblPrEx>
        <w:trPr>
          <w:trHeight w:val="960"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7710A16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9</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2D3C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030408001014</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FD7D3">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电力电缆</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E2C89">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名称：低压电力电缆</w:t>
            </w:r>
          </w:p>
          <w:p w14:paraId="1B153823">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2.</w:t>
            </w:r>
            <w:r>
              <w:rPr>
                <w:rFonts w:ascii="宋体" w:hAnsi="宋体" w:eastAsia="宋体" w:cs="宋体"/>
                <w:color w:val="auto"/>
                <w:spacing w:val="-2"/>
                <w:sz w:val="21"/>
                <w:highlight w:val="none"/>
              </w:rPr>
              <w:t>规格：ZC-YJV22-0.6/1.0kV-4*95</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4E72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m</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1B18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26</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F8F21B1">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1D83D0">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55DB9581">
            <w:pPr>
              <w:spacing w:line="232" w:lineRule="auto"/>
              <w:jc w:val="right"/>
              <w:rPr>
                <w:rFonts w:ascii="宋体" w:hAnsi="宋体" w:eastAsia="宋体" w:cs="宋体"/>
                <w:color w:val="auto"/>
                <w:spacing w:val="-2"/>
                <w:sz w:val="21"/>
                <w:highlight w:val="none"/>
              </w:rPr>
            </w:pPr>
          </w:p>
        </w:tc>
      </w:tr>
      <w:tr w14:paraId="1B4AF701">
        <w:tblPrEx>
          <w:tblCellMar>
            <w:top w:w="0" w:type="dxa"/>
            <w:left w:w="0" w:type="dxa"/>
            <w:bottom w:w="0" w:type="dxa"/>
            <w:right w:w="0" w:type="dxa"/>
          </w:tblCellMar>
        </w:tblPrEx>
        <w:trPr>
          <w:trHeight w:val="946"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39BAD31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10</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DABA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030408001015</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5BDEB">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电力电缆</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8F09B">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名称：低压电力电缆</w:t>
            </w:r>
          </w:p>
          <w:p w14:paraId="34658B18">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2.</w:t>
            </w:r>
            <w:r>
              <w:rPr>
                <w:rFonts w:ascii="宋体" w:hAnsi="宋体" w:eastAsia="宋体" w:cs="宋体"/>
                <w:color w:val="auto"/>
                <w:spacing w:val="-2"/>
                <w:sz w:val="21"/>
                <w:highlight w:val="none"/>
              </w:rPr>
              <w:t>规格：ZC-YJV22-0.6/1.0kV-4*120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6CC8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m</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EB0A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11</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F536459">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19D223">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39CFE628">
            <w:pPr>
              <w:spacing w:line="232" w:lineRule="auto"/>
              <w:jc w:val="right"/>
              <w:rPr>
                <w:rFonts w:ascii="宋体" w:hAnsi="宋体" w:eastAsia="宋体" w:cs="宋体"/>
                <w:color w:val="auto"/>
                <w:spacing w:val="-2"/>
                <w:sz w:val="21"/>
                <w:highlight w:val="none"/>
              </w:rPr>
            </w:pPr>
          </w:p>
        </w:tc>
      </w:tr>
      <w:tr w14:paraId="168CFCF4">
        <w:tblPrEx>
          <w:tblCellMar>
            <w:top w:w="0" w:type="dxa"/>
            <w:left w:w="0" w:type="dxa"/>
            <w:bottom w:w="0" w:type="dxa"/>
            <w:right w:w="0" w:type="dxa"/>
          </w:tblCellMar>
        </w:tblPrEx>
        <w:trPr>
          <w:trHeight w:val="867"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96EAE3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11</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546D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030408006006</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62DAB">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电力电缆头</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D1055">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C01E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9A4F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8</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E9E1CA0">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2B884A">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6A1F32B1">
            <w:pPr>
              <w:spacing w:line="232" w:lineRule="auto"/>
              <w:jc w:val="right"/>
              <w:rPr>
                <w:rFonts w:ascii="宋体" w:hAnsi="宋体" w:eastAsia="宋体" w:cs="宋体"/>
                <w:color w:val="auto"/>
                <w:spacing w:val="-2"/>
                <w:sz w:val="21"/>
                <w:highlight w:val="none"/>
              </w:rPr>
            </w:pPr>
          </w:p>
        </w:tc>
      </w:tr>
      <w:tr w14:paraId="26FA3479">
        <w:tblPrEx>
          <w:tblCellMar>
            <w:top w:w="0" w:type="dxa"/>
            <w:left w:w="0" w:type="dxa"/>
            <w:bottom w:w="0" w:type="dxa"/>
            <w:right w:w="0" w:type="dxa"/>
          </w:tblCellMar>
        </w:tblPrEx>
        <w:trPr>
          <w:trHeight w:val="725" w:hRule="exact"/>
        </w:trPr>
        <w:tc>
          <w:tcPr>
            <w:tcW w:w="8336" w:type="dxa"/>
            <w:gridSpan w:val="9"/>
            <w:tcBorders>
              <w:top w:val="single" w:color="000000" w:sz="4" w:space="0"/>
              <w:left w:val="single" w:color="000000" w:sz="10" w:space="0"/>
              <w:bottom w:val="single" w:color="000000" w:sz="10" w:space="0"/>
              <w:right w:val="single" w:color="000000" w:sz="4" w:space="0"/>
            </w:tcBorders>
            <w:shd w:val="clear" w:color="auto" w:fill="auto"/>
            <w:vAlign w:val="center"/>
          </w:tcPr>
          <w:p w14:paraId="471F89E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本页小计</w:t>
            </w:r>
          </w:p>
        </w:tc>
        <w:tc>
          <w:tcPr>
            <w:tcW w:w="1141" w:type="dxa"/>
            <w:gridSpan w:val="2"/>
            <w:tcBorders>
              <w:top w:val="single" w:color="000000" w:sz="4" w:space="0"/>
              <w:left w:val="single" w:color="000000" w:sz="4" w:space="0"/>
              <w:bottom w:val="single" w:color="000000" w:sz="10" w:space="0"/>
              <w:right w:val="single" w:color="000000" w:sz="4" w:space="0"/>
            </w:tcBorders>
            <w:shd w:val="clear" w:color="auto" w:fill="auto"/>
          </w:tcPr>
          <w:p w14:paraId="64E84677">
            <w:pPr>
              <w:spacing w:line="232" w:lineRule="auto"/>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10" w:space="0"/>
              <w:right w:val="single" w:color="000000" w:sz="10" w:space="0"/>
            </w:tcBorders>
            <w:shd w:val="clear" w:color="auto" w:fill="auto"/>
          </w:tcPr>
          <w:p w14:paraId="4D009E65">
            <w:pPr>
              <w:spacing w:line="232" w:lineRule="auto"/>
              <w:rPr>
                <w:rFonts w:ascii="宋体" w:hAnsi="宋体" w:eastAsia="宋体" w:cs="宋体"/>
                <w:color w:val="auto"/>
                <w:spacing w:val="-2"/>
                <w:sz w:val="21"/>
                <w:highlight w:val="none"/>
              </w:rPr>
            </w:pPr>
          </w:p>
        </w:tc>
      </w:tr>
      <w:tr w14:paraId="2C7EF7C6">
        <w:tblPrEx>
          <w:tblCellMar>
            <w:top w:w="0" w:type="dxa"/>
            <w:left w:w="0" w:type="dxa"/>
            <w:bottom w:w="0" w:type="dxa"/>
            <w:right w:w="0" w:type="dxa"/>
          </w:tblCellMar>
        </w:tblPrEx>
        <w:trPr>
          <w:trHeight w:val="674" w:hRule="exact"/>
        </w:trPr>
        <w:tc>
          <w:tcPr>
            <w:tcW w:w="10446" w:type="dxa"/>
            <w:gridSpan w:val="12"/>
            <w:tcBorders>
              <w:top w:val="single" w:color="auto" w:sz="4" w:space="0"/>
              <w:left w:val="single" w:color="auto" w:sz="4" w:space="0"/>
              <w:bottom w:val="single" w:color="auto" w:sz="4" w:space="0"/>
              <w:right w:val="single" w:color="auto" w:sz="4" w:space="0"/>
            </w:tcBorders>
            <w:shd w:val="clear" w:color="auto" w:fill="auto"/>
            <w:vAlign w:val="center"/>
          </w:tcPr>
          <w:p w14:paraId="02A8267E">
            <w:pPr>
              <w:spacing w:line="232" w:lineRule="auto"/>
              <w:jc w:val="center"/>
              <w:rPr>
                <w:rFonts w:hint="eastAsia" w:ascii="宋体" w:hAnsi="宋体" w:eastAsia="宋体" w:cs="宋体"/>
                <w:b/>
                <w:color w:val="auto"/>
                <w:spacing w:val="-2"/>
                <w:sz w:val="32"/>
                <w:highlight w:val="none"/>
                <w:lang w:eastAsia="zh-CN"/>
              </w:rPr>
            </w:pPr>
            <w:r>
              <w:rPr>
                <w:rFonts w:hint="eastAsia" w:ascii="宋体" w:hAnsi="宋体" w:eastAsia="宋体" w:cs="宋体"/>
                <w:b/>
                <w:color w:val="auto"/>
                <w:spacing w:val="-2"/>
                <w:sz w:val="32"/>
                <w:highlight w:val="none"/>
                <w:lang w:eastAsia="zh-CN"/>
              </w:rPr>
              <w:t>全费用工程量清单与计价表</w:t>
            </w:r>
          </w:p>
        </w:tc>
      </w:tr>
      <w:tr w14:paraId="3AB64FF5">
        <w:tblPrEx>
          <w:tblCellMar>
            <w:top w:w="0" w:type="dxa"/>
            <w:left w:w="0" w:type="dxa"/>
            <w:bottom w:w="0" w:type="dxa"/>
            <w:right w:w="0" w:type="dxa"/>
          </w:tblCellMar>
        </w:tblPrEx>
        <w:trPr>
          <w:trHeight w:val="344" w:hRule="exact"/>
        </w:trPr>
        <w:tc>
          <w:tcPr>
            <w:tcW w:w="5508"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6C18545B">
            <w:pPr>
              <w:spacing w:line="232" w:lineRule="auto"/>
              <w:rPr>
                <w:rFonts w:ascii="黑体" w:hAnsi="黑体" w:eastAsia="黑体" w:cs="黑体"/>
                <w:color w:val="auto"/>
                <w:spacing w:val="-2"/>
                <w:sz w:val="21"/>
                <w:highlight w:val="none"/>
              </w:rPr>
            </w:pPr>
            <w:r>
              <w:rPr>
                <w:rFonts w:ascii="黑体" w:hAnsi="黑体" w:eastAsia="黑体" w:cs="黑体"/>
                <w:color w:val="auto"/>
                <w:spacing w:val="-2"/>
                <w:sz w:val="21"/>
                <w:highlight w:val="none"/>
              </w:rPr>
              <w:t>工程名称：安装</w:t>
            </w:r>
          </w:p>
        </w:tc>
        <w:tc>
          <w:tcPr>
            <w:tcW w:w="191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BF54BF9">
            <w:pPr>
              <w:spacing w:line="232" w:lineRule="auto"/>
              <w:rPr>
                <w:rFonts w:ascii="黑体" w:hAnsi="黑体" w:eastAsia="黑体" w:cs="黑体"/>
                <w:color w:val="auto"/>
                <w:spacing w:val="-2"/>
                <w:sz w:val="21"/>
                <w:highlight w:val="none"/>
              </w:rPr>
            </w:pPr>
            <w:r>
              <w:rPr>
                <w:rFonts w:ascii="黑体" w:hAnsi="黑体" w:eastAsia="黑体" w:cs="黑体"/>
                <w:color w:val="auto"/>
                <w:spacing w:val="-2"/>
                <w:sz w:val="21"/>
                <w:highlight w:val="none"/>
              </w:rPr>
              <w:t>标段：</w:t>
            </w:r>
          </w:p>
        </w:tc>
        <w:tc>
          <w:tcPr>
            <w:tcW w:w="3026"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70B7164F">
            <w:pPr>
              <w:spacing w:line="232" w:lineRule="auto"/>
              <w:jc w:val="right"/>
              <w:rPr>
                <w:rFonts w:ascii="黑体" w:hAnsi="黑体" w:eastAsia="黑体" w:cs="黑体"/>
                <w:color w:val="auto"/>
                <w:spacing w:val="-2"/>
                <w:sz w:val="21"/>
                <w:highlight w:val="none"/>
              </w:rPr>
            </w:pPr>
            <w:r>
              <w:rPr>
                <w:rFonts w:ascii="黑体" w:hAnsi="黑体" w:eastAsia="黑体" w:cs="黑体"/>
                <w:color w:val="auto"/>
                <w:spacing w:val="-2"/>
                <w:sz w:val="21"/>
                <w:highlight w:val="none"/>
              </w:rPr>
              <w:t>第2页 共5页</w:t>
            </w:r>
          </w:p>
        </w:tc>
      </w:tr>
      <w:tr w14:paraId="3153D682">
        <w:tblPrEx>
          <w:tblCellMar>
            <w:top w:w="0" w:type="dxa"/>
            <w:left w:w="0" w:type="dxa"/>
            <w:bottom w:w="0" w:type="dxa"/>
            <w:right w:w="0" w:type="dxa"/>
          </w:tblCellMar>
        </w:tblPrEx>
        <w:trPr>
          <w:trHeight w:val="300" w:hRule="exact"/>
        </w:trPr>
        <w:tc>
          <w:tcPr>
            <w:tcW w:w="544" w:type="dxa"/>
            <w:vMerge w:val="restart"/>
            <w:tcBorders>
              <w:top w:val="single" w:color="auto" w:sz="4" w:space="0"/>
              <w:left w:val="single" w:color="000000" w:sz="10" w:space="0"/>
              <w:bottom w:val="single" w:color="auto" w:sz="4" w:space="0"/>
              <w:right w:val="single" w:color="000000" w:sz="4" w:space="0"/>
            </w:tcBorders>
            <w:shd w:val="clear" w:color="auto" w:fill="FFFFFF"/>
            <w:vAlign w:val="center"/>
          </w:tcPr>
          <w:p w14:paraId="310AD38E">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序号</w:t>
            </w:r>
          </w:p>
        </w:tc>
        <w:tc>
          <w:tcPr>
            <w:tcW w:w="888"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2F486AE6">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项目编码</w:t>
            </w:r>
          </w:p>
        </w:tc>
        <w:tc>
          <w:tcPr>
            <w:tcW w:w="1182"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689C30A7">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项目名称</w:t>
            </w:r>
          </w:p>
        </w:tc>
        <w:tc>
          <w:tcPr>
            <w:tcW w:w="2894"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54DFFB38">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项目特征描述</w:t>
            </w:r>
          </w:p>
        </w:tc>
        <w:tc>
          <w:tcPr>
            <w:tcW w:w="823"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0F3A825C">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计量</w:t>
            </w:r>
          </w:p>
          <w:p w14:paraId="08A42C0E">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单位</w:t>
            </w:r>
          </w:p>
        </w:tc>
        <w:tc>
          <w:tcPr>
            <w:tcW w:w="837"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6883DE18">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工程量</w:t>
            </w:r>
          </w:p>
        </w:tc>
        <w:tc>
          <w:tcPr>
            <w:tcW w:w="3278" w:type="dxa"/>
            <w:gridSpan w:val="6"/>
            <w:tcBorders>
              <w:top w:val="single" w:color="auto" w:sz="4" w:space="0"/>
              <w:left w:val="single" w:color="000000" w:sz="4" w:space="0"/>
              <w:bottom w:val="single" w:color="auto" w:sz="4" w:space="0"/>
              <w:right w:val="single" w:color="000000" w:sz="10" w:space="0"/>
            </w:tcBorders>
            <w:shd w:val="clear" w:color="auto" w:fill="FFFFFF"/>
            <w:vAlign w:val="center"/>
          </w:tcPr>
          <w:p w14:paraId="4AC6CD75">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金额（元）</w:t>
            </w:r>
          </w:p>
        </w:tc>
      </w:tr>
      <w:tr w14:paraId="7BCBD4F6">
        <w:tblPrEx>
          <w:tblCellMar>
            <w:top w:w="0" w:type="dxa"/>
            <w:left w:w="0" w:type="dxa"/>
            <w:bottom w:w="0" w:type="dxa"/>
            <w:right w:w="0" w:type="dxa"/>
          </w:tblCellMar>
        </w:tblPrEx>
        <w:trPr>
          <w:trHeight w:val="301" w:hRule="exact"/>
        </w:trPr>
        <w:tc>
          <w:tcPr>
            <w:tcW w:w="544" w:type="dxa"/>
            <w:vMerge w:val="continue"/>
            <w:tcBorders>
              <w:top w:val="single" w:color="auto" w:sz="4" w:space="0"/>
              <w:left w:val="single" w:color="000000" w:sz="10" w:space="0"/>
              <w:bottom w:val="single" w:color="auto" w:sz="4" w:space="0"/>
              <w:right w:val="single" w:color="000000" w:sz="4" w:space="0"/>
            </w:tcBorders>
            <w:shd w:val="clear" w:color="auto" w:fill="FFFFFF"/>
            <w:vAlign w:val="center"/>
          </w:tcPr>
          <w:p w14:paraId="6A97B4EE">
            <w:pPr>
              <w:rPr>
                <w:color w:val="auto"/>
                <w:highlight w:val="none"/>
              </w:rPr>
            </w:pPr>
          </w:p>
        </w:tc>
        <w:tc>
          <w:tcPr>
            <w:tcW w:w="888"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1FF3BBBF">
            <w:pPr>
              <w:rPr>
                <w:color w:val="auto"/>
                <w:highlight w:val="none"/>
              </w:rPr>
            </w:pPr>
          </w:p>
        </w:tc>
        <w:tc>
          <w:tcPr>
            <w:tcW w:w="1182"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5CA6D08A">
            <w:pPr>
              <w:rPr>
                <w:color w:val="auto"/>
                <w:highlight w:val="none"/>
              </w:rPr>
            </w:pPr>
          </w:p>
        </w:tc>
        <w:tc>
          <w:tcPr>
            <w:tcW w:w="2894"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0B124752">
            <w:pPr>
              <w:rPr>
                <w:color w:val="auto"/>
                <w:highlight w:val="none"/>
              </w:rPr>
            </w:pPr>
          </w:p>
        </w:tc>
        <w:tc>
          <w:tcPr>
            <w:tcW w:w="823"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28D1BC92">
            <w:pPr>
              <w:rPr>
                <w:color w:val="auto"/>
                <w:highlight w:val="none"/>
              </w:rPr>
            </w:pPr>
          </w:p>
        </w:tc>
        <w:tc>
          <w:tcPr>
            <w:tcW w:w="837"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38130F3F">
            <w:pPr>
              <w:rPr>
                <w:color w:val="auto"/>
                <w:highlight w:val="none"/>
              </w:rPr>
            </w:pPr>
          </w:p>
        </w:tc>
        <w:tc>
          <w:tcPr>
            <w:tcW w:w="1168" w:type="dxa"/>
            <w:gridSpan w:val="3"/>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5B8BCC0A">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综合单价</w:t>
            </w:r>
          </w:p>
        </w:tc>
        <w:tc>
          <w:tcPr>
            <w:tcW w:w="1141" w:type="dxa"/>
            <w:gridSpan w:val="2"/>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60E39A20">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合价</w:t>
            </w:r>
          </w:p>
        </w:tc>
        <w:tc>
          <w:tcPr>
            <w:tcW w:w="969" w:type="dxa"/>
            <w:tcBorders>
              <w:top w:val="single" w:color="auto" w:sz="4" w:space="0"/>
              <w:left w:val="single" w:color="000000" w:sz="4" w:space="0"/>
              <w:bottom w:val="single" w:color="auto" w:sz="4" w:space="0"/>
              <w:right w:val="single" w:color="000000" w:sz="10" w:space="0"/>
            </w:tcBorders>
            <w:shd w:val="clear" w:color="auto" w:fill="FFFFFF"/>
            <w:vAlign w:val="center"/>
          </w:tcPr>
          <w:p w14:paraId="16442E09">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其中</w:t>
            </w:r>
          </w:p>
        </w:tc>
      </w:tr>
      <w:tr w14:paraId="0A04A147">
        <w:tblPrEx>
          <w:tblCellMar>
            <w:top w:w="0" w:type="dxa"/>
            <w:left w:w="0" w:type="dxa"/>
            <w:bottom w:w="0" w:type="dxa"/>
            <w:right w:w="0" w:type="dxa"/>
          </w:tblCellMar>
        </w:tblPrEx>
        <w:trPr>
          <w:trHeight w:val="287" w:hRule="exact"/>
        </w:trPr>
        <w:tc>
          <w:tcPr>
            <w:tcW w:w="544" w:type="dxa"/>
            <w:vMerge w:val="continue"/>
            <w:tcBorders>
              <w:top w:val="single" w:color="auto" w:sz="4" w:space="0"/>
              <w:left w:val="single" w:color="000000" w:sz="10" w:space="0"/>
              <w:bottom w:val="single" w:color="000000" w:sz="4" w:space="0"/>
              <w:right w:val="single" w:color="000000" w:sz="4" w:space="0"/>
            </w:tcBorders>
            <w:shd w:val="clear" w:color="auto" w:fill="FFFFFF"/>
            <w:vAlign w:val="center"/>
          </w:tcPr>
          <w:p w14:paraId="5ED92353">
            <w:pPr>
              <w:rPr>
                <w:color w:val="auto"/>
                <w:highlight w:val="none"/>
              </w:rPr>
            </w:pPr>
          </w:p>
        </w:tc>
        <w:tc>
          <w:tcPr>
            <w:tcW w:w="888"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1B13480F">
            <w:pPr>
              <w:rPr>
                <w:color w:val="auto"/>
                <w:highlight w:val="none"/>
              </w:rPr>
            </w:pPr>
          </w:p>
        </w:tc>
        <w:tc>
          <w:tcPr>
            <w:tcW w:w="1182"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6A0D73EE">
            <w:pPr>
              <w:rPr>
                <w:color w:val="auto"/>
                <w:highlight w:val="none"/>
              </w:rPr>
            </w:pPr>
          </w:p>
        </w:tc>
        <w:tc>
          <w:tcPr>
            <w:tcW w:w="2894"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4D5C2DEB">
            <w:pPr>
              <w:rPr>
                <w:color w:val="auto"/>
                <w:highlight w:val="none"/>
              </w:rPr>
            </w:pPr>
          </w:p>
        </w:tc>
        <w:tc>
          <w:tcPr>
            <w:tcW w:w="823"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35A48948">
            <w:pPr>
              <w:rPr>
                <w:color w:val="auto"/>
                <w:highlight w:val="none"/>
              </w:rPr>
            </w:pPr>
          </w:p>
        </w:tc>
        <w:tc>
          <w:tcPr>
            <w:tcW w:w="837"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2252F20E">
            <w:pPr>
              <w:rPr>
                <w:color w:val="auto"/>
                <w:highlight w:val="none"/>
              </w:rPr>
            </w:pPr>
          </w:p>
        </w:tc>
        <w:tc>
          <w:tcPr>
            <w:tcW w:w="1168" w:type="dxa"/>
            <w:gridSpan w:val="3"/>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106CD5FD">
            <w:pPr>
              <w:rPr>
                <w:color w:val="auto"/>
                <w:highlight w:val="none"/>
              </w:rPr>
            </w:pPr>
          </w:p>
        </w:tc>
        <w:tc>
          <w:tcPr>
            <w:tcW w:w="1141" w:type="dxa"/>
            <w:gridSpan w:val="2"/>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3822D90F">
            <w:pPr>
              <w:rPr>
                <w:color w:val="auto"/>
                <w:highlight w:val="none"/>
              </w:rPr>
            </w:pPr>
          </w:p>
        </w:tc>
        <w:tc>
          <w:tcPr>
            <w:tcW w:w="969" w:type="dxa"/>
            <w:tcBorders>
              <w:top w:val="single" w:color="auto" w:sz="4" w:space="0"/>
              <w:left w:val="single" w:color="000000" w:sz="4" w:space="0"/>
              <w:bottom w:val="single" w:color="000000" w:sz="4" w:space="0"/>
              <w:right w:val="single" w:color="000000" w:sz="10" w:space="0"/>
            </w:tcBorders>
            <w:shd w:val="clear" w:color="auto" w:fill="FFFFFF"/>
            <w:vAlign w:val="center"/>
          </w:tcPr>
          <w:p w14:paraId="4B123E07">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暂估价</w:t>
            </w:r>
          </w:p>
        </w:tc>
      </w:tr>
      <w:tr w14:paraId="0BB54E8C">
        <w:tblPrEx>
          <w:tblCellMar>
            <w:top w:w="0" w:type="dxa"/>
            <w:left w:w="0" w:type="dxa"/>
            <w:bottom w:w="0" w:type="dxa"/>
            <w:right w:w="0" w:type="dxa"/>
          </w:tblCellMar>
        </w:tblPrEx>
        <w:trPr>
          <w:trHeight w:val="1211"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7DC89C1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12</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C064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030410004002</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5032E">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10kV跌落式熔断器</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96941">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名称：10kV跌落式熔断器</w:t>
            </w:r>
          </w:p>
          <w:p w14:paraId="546C4532">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2.</w:t>
            </w:r>
            <w:r>
              <w:rPr>
                <w:rFonts w:ascii="宋体" w:hAnsi="宋体" w:eastAsia="宋体" w:cs="宋体"/>
                <w:color w:val="auto"/>
                <w:spacing w:val="-2"/>
                <w:sz w:val="21"/>
                <w:highlight w:val="none"/>
              </w:rPr>
              <w:t>规格：AC10kV</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跌落式</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200A</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4C59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台</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6A23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13</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B892705">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D1BC2E">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4F91C7B9">
            <w:pPr>
              <w:spacing w:line="232" w:lineRule="auto"/>
              <w:jc w:val="right"/>
              <w:rPr>
                <w:rFonts w:ascii="宋体" w:hAnsi="宋体" w:eastAsia="宋体" w:cs="宋体"/>
                <w:color w:val="auto"/>
                <w:spacing w:val="-2"/>
                <w:sz w:val="21"/>
                <w:highlight w:val="none"/>
              </w:rPr>
            </w:pPr>
          </w:p>
        </w:tc>
      </w:tr>
      <w:tr w14:paraId="76FB9A87">
        <w:tblPrEx>
          <w:tblCellMar>
            <w:top w:w="0" w:type="dxa"/>
            <w:left w:w="0" w:type="dxa"/>
            <w:bottom w:w="0" w:type="dxa"/>
            <w:right w:w="0" w:type="dxa"/>
          </w:tblCellMar>
        </w:tblPrEx>
        <w:trPr>
          <w:trHeight w:val="758"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B84625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04FD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030402010002</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79891">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避雷器</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7FA37">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10kV氧化锌避雷器 HY5WS-17/50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EAE4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台</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BB1B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15</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4479FF7">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F67EAC">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63876311">
            <w:pPr>
              <w:spacing w:line="232" w:lineRule="auto"/>
              <w:jc w:val="right"/>
              <w:rPr>
                <w:rFonts w:ascii="宋体" w:hAnsi="宋体" w:eastAsia="宋体" w:cs="宋体"/>
                <w:color w:val="auto"/>
                <w:spacing w:val="-2"/>
                <w:sz w:val="21"/>
                <w:highlight w:val="none"/>
              </w:rPr>
            </w:pPr>
          </w:p>
        </w:tc>
      </w:tr>
      <w:tr w14:paraId="6D203D9F">
        <w:tblPrEx>
          <w:tblCellMar>
            <w:top w:w="0" w:type="dxa"/>
            <w:left w:w="0" w:type="dxa"/>
            <w:bottom w:w="0" w:type="dxa"/>
            <w:right w:w="0" w:type="dxa"/>
          </w:tblCellMar>
        </w:tblPrEx>
        <w:trPr>
          <w:trHeight w:val="946" w:hRule="exact"/>
        </w:trPr>
        <w:tc>
          <w:tcPr>
            <w:tcW w:w="544" w:type="dxa"/>
            <w:vMerge w:val="restart"/>
            <w:tcBorders>
              <w:top w:val="single" w:color="000000" w:sz="4" w:space="0"/>
              <w:left w:val="single" w:color="000000" w:sz="10" w:space="0"/>
              <w:bottom w:val="single" w:color="000000" w:sz="4" w:space="0"/>
              <w:right w:val="single" w:color="000000" w:sz="4" w:space="0"/>
            </w:tcBorders>
            <w:shd w:val="clear" w:color="auto" w:fill="auto"/>
            <w:vAlign w:val="center"/>
          </w:tcPr>
          <w:p w14:paraId="6B5BF1E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14</w:t>
            </w:r>
          </w:p>
        </w:tc>
        <w:tc>
          <w:tcPr>
            <w:tcW w:w="8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320D5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030402010003</w:t>
            </w:r>
          </w:p>
        </w:tc>
        <w:tc>
          <w:tcPr>
            <w:tcW w:w="11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3617CD">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线路避雷器</w:t>
            </w:r>
          </w:p>
        </w:tc>
        <w:tc>
          <w:tcPr>
            <w:tcW w:w="289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992BE1">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名称：线路避雷器</w:t>
            </w:r>
          </w:p>
          <w:p w14:paraId="7CEE84AC">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2.</w:t>
            </w:r>
            <w:r>
              <w:rPr>
                <w:rFonts w:ascii="宋体" w:hAnsi="宋体" w:eastAsia="宋体" w:cs="宋体"/>
                <w:color w:val="auto"/>
                <w:spacing w:val="-2"/>
                <w:sz w:val="21"/>
                <w:highlight w:val="none"/>
              </w:rPr>
              <w:t>规格：AC10kV</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额定电压</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13kV</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外绝缘材质</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硅橡胶</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雷电额定残压</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40kV</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是否带间隙</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带间隙</w:t>
            </w:r>
          </w:p>
        </w:tc>
        <w:tc>
          <w:tcPr>
            <w:tcW w:w="8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9CEF8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694D3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48</w:t>
            </w:r>
          </w:p>
        </w:tc>
        <w:tc>
          <w:tcPr>
            <w:tcW w:w="1168"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737BF1">
            <w:pPr>
              <w:spacing w:line="232" w:lineRule="auto"/>
              <w:jc w:val="right"/>
              <w:rPr>
                <w:rFonts w:ascii="宋体" w:hAnsi="宋体" w:eastAsia="宋体" w:cs="宋体"/>
                <w:color w:val="auto"/>
                <w:spacing w:val="-2"/>
                <w:sz w:val="21"/>
                <w:highlight w:val="none"/>
              </w:rPr>
            </w:pPr>
          </w:p>
        </w:tc>
        <w:tc>
          <w:tcPr>
            <w:tcW w:w="114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A6C5A7">
            <w:pPr>
              <w:spacing w:line="232" w:lineRule="auto"/>
              <w:jc w:val="right"/>
              <w:rPr>
                <w:rFonts w:ascii="宋体" w:hAnsi="宋体" w:eastAsia="宋体" w:cs="宋体"/>
                <w:color w:val="auto"/>
                <w:spacing w:val="-2"/>
                <w:sz w:val="21"/>
                <w:highlight w:val="none"/>
              </w:rPr>
            </w:pPr>
          </w:p>
        </w:tc>
        <w:tc>
          <w:tcPr>
            <w:tcW w:w="969" w:type="dxa"/>
            <w:vMerge w:val="restart"/>
            <w:tcBorders>
              <w:top w:val="single" w:color="000000" w:sz="4" w:space="0"/>
              <w:left w:val="single" w:color="000000" w:sz="4" w:space="0"/>
              <w:bottom w:val="single" w:color="000000" w:sz="4" w:space="0"/>
              <w:right w:val="single" w:color="000000" w:sz="10" w:space="0"/>
            </w:tcBorders>
            <w:shd w:val="clear" w:color="auto" w:fill="auto"/>
            <w:vAlign w:val="center"/>
          </w:tcPr>
          <w:p w14:paraId="71549C71">
            <w:pPr>
              <w:spacing w:line="232" w:lineRule="auto"/>
              <w:jc w:val="right"/>
              <w:rPr>
                <w:rFonts w:ascii="宋体" w:hAnsi="宋体" w:eastAsia="宋体" w:cs="宋体"/>
                <w:color w:val="auto"/>
                <w:spacing w:val="-2"/>
                <w:sz w:val="21"/>
                <w:highlight w:val="none"/>
              </w:rPr>
            </w:pPr>
          </w:p>
        </w:tc>
      </w:tr>
      <w:tr w14:paraId="539CA80A">
        <w:tblPrEx>
          <w:tblCellMar>
            <w:top w:w="0" w:type="dxa"/>
            <w:left w:w="0" w:type="dxa"/>
            <w:bottom w:w="0" w:type="dxa"/>
            <w:right w:w="0" w:type="dxa"/>
          </w:tblCellMar>
        </w:tblPrEx>
        <w:trPr>
          <w:trHeight w:val="423" w:hRule="exact"/>
        </w:trPr>
        <w:tc>
          <w:tcPr>
            <w:tcW w:w="544" w:type="dxa"/>
            <w:vMerge w:val="continue"/>
            <w:tcBorders>
              <w:top w:val="single" w:color="000000" w:sz="4" w:space="0"/>
              <w:left w:val="single" w:color="000000" w:sz="10" w:space="0"/>
              <w:bottom w:val="single" w:color="000000" w:sz="4" w:space="0"/>
              <w:right w:val="single" w:color="000000" w:sz="4" w:space="0"/>
            </w:tcBorders>
            <w:shd w:val="clear" w:color="auto" w:fill="auto"/>
            <w:vAlign w:val="center"/>
          </w:tcPr>
          <w:p w14:paraId="38C4A3FE">
            <w:pPr>
              <w:rPr>
                <w:color w:val="auto"/>
                <w:highlight w:val="none"/>
              </w:rPr>
            </w:pPr>
          </w:p>
        </w:tc>
        <w:tc>
          <w:tcPr>
            <w:tcW w:w="8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DBAA71">
            <w:pPr>
              <w:rPr>
                <w:color w:val="auto"/>
                <w:highlight w:val="none"/>
              </w:rPr>
            </w:pPr>
          </w:p>
        </w:tc>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8B10D3">
            <w:pPr>
              <w:rPr>
                <w:color w:val="auto"/>
                <w:highlight w:val="none"/>
              </w:rPr>
            </w:pPr>
          </w:p>
        </w:tc>
        <w:tc>
          <w:tcPr>
            <w:tcW w:w="28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8B489D">
            <w:pPr>
              <w:rPr>
                <w:color w:val="auto"/>
                <w:highlight w:val="none"/>
              </w:rPr>
            </w:pPr>
          </w:p>
        </w:tc>
        <w:tc>
          <w:tcPr>
            <w:tcW w:w="8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E6EE12">
            <w:pPr>
              <w:rPr>
                <w:color w:val="auto"/>
                <w:highlight w:val="none"/>
              </w:rPr>
            </w:pPr>
          </w:p>
        </w:tc>
        <w:tc>
          <w:tcPr>
            <w:tcW w:w="8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BC70AE">
            <w:pPr>
              <w:jc w:val="center"/>
              <w:rPr>
                <w:color w:val="auto"/>
                <w:highlight w:val="none"/>
              </w:rPr>
            </w:pPr>
          </w:p>
        </w:tc>
        <w:tc>
          <w:tcPr>
            <w:tcW w:w="1168"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27E900">
            <w:pPr>
              <w:rPr>
                <w:color w:val="auto"/>
                <w:highlight w:val="none"/>
              </w:rPr>
            </w:pPr>
          </w:p>
        </w:tc>
        <w:tc>
          <w:tcPr>
            <w:tcW w:w="11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D14A5F">
            <w:pPr>
              <w:rPr>
                <w:color w:val="auto"/>
                <w:highlight w:val="none"/>
              </w:rPr>
            </w:pPr>
          </w:p>
        </w:tc>
        <w:tc>
          <w:tcPr>
            <w:tcW w:w="969" w:type="dxa"/>
            <w:vMerge w:val="continue"/>
            <w:tcBorders>
              <w:top w:val="single" w:color="000000" w:sz="4" w:space="0"/>
              <w:left w:val="single" w:color="000000" w:sz="4" w:space="0"/>
              <w:bottom w:val="single" w:color="000000" w:sz="4" w:space="0"/>
              <w:right w:val="single" w:color="000000" w:sz="10" w:space="0"/>
            </w:tcBorders>
            <w:shd w:val="clear" w:color="auto" w:fill="auto"/>
            <w:vAlign w:val="center"/>
          </w:tcPr>
          <w:p w14:paraId="5E12DE96">
            <w:pPr>
              <w:rPr>
                <w:color w:val="auto"/>
                <w:highlight w:val="none"/>
              </w:rPr>
            </w:pPr>
          </w:p>
        </w:tc>
      </w:tr>
      <w:tr w14:paraId="47F1FA6F">
        <w:tblPrEx>
          <w:tblCellMar>
            <w:top w:w="0" w:type="dxa"/>
            <w:left w:w="0" w:type="dxa"/>
            <w:bottom w:w="0" w:type="dxa"/>
            <w:right w:w="0" w:type="dxa"/>
          </w:tblCellMar>
        </w:tblPrEx>
        <w:trPr>
          <w:trHeight w:val="946"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568E6CA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15</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2183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030410001039</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27477">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绝缘护罩</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84037">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名称：绝缘护罩</w:t>
            </w:r>
          </w:p>
          <w:p w14:paraId="15F86B59">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2.</w:t>
            </w:r>
            <w:r>
              <w:rPr>
                <w:rFonts w:ascii="宋体" w:hAnsi="宋体" w:eastAsia="宋体" w:cs="宋体"/>
                <w:color w:val="auto"/>
                <w:spacing w:val="-2"/>
                <w:sz w:val="21"/>
                <w:highlight w:val="none"/>
              </w:rPr>
              <w:t>规格：绝缘护罩，分相色，导线类绝缘护罩</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311C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6B9C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24</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C982DF3">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7614BA">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594EEDD6">
            <w:pPr>
              <w:spacing w:line="232" w:lineRule="auto"/>
              <w:jc w:val="right"/>
              <w:rPr>
                <w:rFonts w:ascii="宋体" w:hAnsi="宋体" w:eastAsia="宋体" w:cs="宋体"/>
                <w:color w:val="auto"/>
                <w:spacing w:val="-2"/>
                <w:sz w:val="21"/>
                <w:highlight w:val="none"/>
              </w:rPr>
            </w:pPr>
          </w:p>
        </w:tc>
      </w:tr>
      <w:tr w14:paraId="048B6CD5">
        <w:tblPrEx>
          <w:tblCellMar>
            <w:top w:w="0" w:type="dxa"/>
            <w:left w:w="0" w:type="dxa"/>
            <w:bottom w:w="0" w:type="dxa"/>
            <w:right w:w="0" w:type="dxa"/>
          </w:tblCellMar>
        </w:tblPrEx>
        <w:trPr>
          <w:trHeight w:val="730"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7459EBCB">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16</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25D4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030402010004</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DC592">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接地线夹</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792B5">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名称：接地线夹</w:t>
            </w:r>
          </w:p>
          <w:p w14:paraId="7A900AFB">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2、规格：DL-50-240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7266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CF6C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72</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EB5EFE0">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A5DF6D">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4AD50D75">
            <w:pPr>
              <w:spacing w:line="232" w:lineRule="auto"/>
              <w:jc w:val="right"/>
              <w:rPr>
                <w:rFonts w:ascii="宋体" w:hAnsi="宋体" w:eastAsia="宋体" w:cs="宋体"/>
                <w:color w:val="auto"/>
                <w:spacing w:val="-2"/>
                <w:sz w:val="21"/>
                <w:highlight w:val="none"/>
              </w:rPr>
            </w:pPr>
          </w:p>
        </w:tc>
      </w:tr>
      <w:tr w14:paraId="25EB15B2">
        <w:tblPrEx>
          <w:tblCellMar>
            <w:top w:w="0" w:type="dxa"/>
            <w:left w:w="0" w:type="dxa"/>
            <w:bottom w:w="0" w:type="dxa"/>
            <w:right w:w="0" w:type="dxa"/>
          </w:tblCellMar>
        </w:tblPrEx>
        <w:trPr>
          <w:trHeight w:val="1190"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777DE49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17</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60E3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030404031001</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F504B">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压接端子</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660F8">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名称：接线端子</w:t>
            </w:r>
          </w:p>
          <w:p w14:paraId="4EE8A096">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2.</w:t>
            </w:r>
            <w:r>
              <w:rPr>
                <w:rFonts w:ascii="宋体" w:hAnsi="宋体" w:eastAsia="宋体" w:cs="宋体"/>
                <w:color w:val="auto"/>
                <w:spacing w:val="-2"/>
                <w:sz w:val="21"/>
                <w:highlight w:val="none"/>
              </w:rPr>
              <w:t>接线端子材质、规格：铜铝过渡</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截面mm2:240mm2</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型式</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双孔</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D042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7F38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24</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B39BF60">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A5E7D7">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2F10AA81">
            <w:pPr>
              <w:spacing w:line="232" w:lineRule="auto"/>
              <w:jc w:val="right"/>
              <w:rPr>
                <w:rFonts w:ascii="宋体" w:hAnsi="宋体" w:eastAsia="宋体" w:cs="宋体"/>
                <w:color w:val="auto"/>
                <w:spacing w:val="-2"/>
                <w:sz w:val="21"/>
                <w:highlight w:val="none"/>
              </w:rPr>
            </w:pPr>
          </w:p>
        </w:tc>
      </w:tr>
      <w:tr w14:paraId="73BEECCC">
        <w:tblPrEx>
          <w:tblCellMar>
            <w:top w:w="0" w:type="dxa"/>
            <w:left w:w="0" w:type="dxa"/>
            <w:bottom w:w="0" w:type="dxa"/>
            <w:right w:w="0" w:type="dxa"/>
          </w:tblCellMar>
        </w:tblPrEx>
        <w:trPr>
          <w:trHeight w:val="1119"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DC6BDE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18</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573A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030404031002</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85C57">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压接端子</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3974A">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名称：接线端子</w:t>
            </w:r>
          </w:p>
          <w:p w14:paraId="42FC93EE">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2.</w:t>
            </w:r>
            <w:r>
              <w:rPr>
                <w:rFonts w:ascii="宋体" w:hAnsi="宋体" w:eastAsia="宋体" w:cs="宋体"/>
                <w:color w:val="auto"/>
                <w:spacing w:val="-2"/>
                <w:sz w:val="21"/>
                <w:highlight w:val="none"/>
              </w:rPr>
              <w:t>接线端子材质、规格：铝</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截面mm2:50mm2</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型式</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单孔</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B778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9A6A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32</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47ED2EE">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41895D">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03419F52">
            <w:pPr>
              <w:spacing w:line="232" w:lineRule="auto"/>
              <w:jc w:val="right"/>
              <w:rPr>
                <w:rFonts w:ascii="宋体" w:hAnsi="宋体" w:eastAsia="宋体" w:cs="宋体"/>
                <w:color w:val="auto"/>
                <w:spacing w:val="-2"/>
                <w:sz w:val="21"/>
                <w:highlight w:val="none"/>
              </w:rPr>
            </w:pPr>
          </w:p>
        </w:tc>
      </w:tr>
      <w:tr w14:paraId="0F9936AE">
        <w:tblPrEx>
          <w:tblCellMar>
            <w:top w:w="0" w:type="dxa"/>
            <w:left w:w="0" w:type="dxa"/>
            <w:bottom w:w="0" w:type="dxa"/>
            <w:right w:w="0" w:type="dxa"/>
          </w:tblCellMar>
        </w:tblPrEx>
        <w:trPr>
          <w:trHeight w:val="970"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192A1F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19</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298C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030410002001</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8E40A">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横担组装</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C1313">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名称：单回横担</w:t>
            </w:r>
          </w:p>
          <w:p w14:paraId="7F42A5FB">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2.</w:t>
            </w:r>
            <w:r>
              <w:rPr>
                <w:rFonts w:ascii="宋体" w:hAnsi="宋体" w:eastAsia="宋体" w:cs="宋体"/>
                <w:color w:val="auto"/>
                <w:spacing w:val="-2"/>
                <w:sz w:val="21"/>
                <w:highlight w:val="none"/>
              </w:rPr>
              <w:t>规格：∠80mm×8mm×1700mm</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3927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组</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1875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16</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DCA8D53">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03EF84">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2BCAF273">
            <w:pPr>
              <w:spacing w:line="232" w:lineRule="auto"/>
              <w:jc w:val="right"/>
              <w:rPr>
                <w:rFonts w:ascii="宋体" w:hAnsi="宋体" w:eastAsia="宋体" w:cs="宋体"/>
                <w:color w:val="auto"/>
                <w:spacing w:val="-2"/>
                <w:sz w:val="21"/>
                <w:highlight w:val="none"/>
              </w:rPr>
            </w:pPr>
          </w:p>
        </w:tc>
      </w:tr>
      <w:tr w14:paraId="6DF035D1">
        <w:tblPrEx>
          <w:tblCellMar>
            <w:top w:w="0" w:type="dxa"/>
            <w:left w:w="0" w:type="dxa"/>
            <w:bottom w:w="0" w:type="dxa"/>
            <w:right w:w="0" w:type="dxa"/>
          </w:tblCellMar>
        </w:tblPrEx>
        <w:trPr>
          <w:trHeight w:val="960"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2163209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20</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623F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030410002002</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B595D">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横担组装</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23328">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名称：四回横担1</w:t>
            </w:r>
          </w:p>
          <w:p w14:paraId="2D0A426F">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2.</w:t>
            </w:r>
            <w:r>
              <w:rPr>
                <w:rFonts w:ascii="宋体" w:hAnsi="宋体" w:eastAsia="宋体" w:cs="宋体"/>
                <w:color w:val="auto"/>
                <w:spacing w:val="-2"/>
                <w:sz w:val="21"/>
                <w:highlight w:val="none"/>
              </w:rPr>
              <w:t>规格：∠80mm×8mm×1500mm</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92F2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组</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12C9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18</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DD0EC1B">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B0AAA9">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669735F9">
            <w:pPr>
              <w:spacing w:line="232" w:lineRule="auto"/>
              <w:jc w:val="right"/>
              <w:rPr>
                <w:rFonts w:ascii="宋体" w:hAnsi="宋体" w:eastAsia="宋体" w:cs="宋体"/>
                <w:color w:val="auto"/>
                <w:spacing w:val="-2"/>
                <w:sz w:val="21"/>
                <w:highlight w:val="none"/>
              </w:rPr>
            </w:pPr>
          </w:p>
        </w:tc>
      </w:tr>
      <w:tr w14:paraId="7794436E">
        <w:tblPrEx>
          <w:tblCellMar>
            <w:top w:w="0" w:type="dxa"/>
            <w:left w:w="0" w:type="dxa"/>
            <w:bottom w:w="0" w:type="dxa"/>
            <w:right w:w="0" w:type="dxa"/>
          </w:tblCellMar>
        </w:tblPrEx>
        <w:trPr>
          <w:trHeight w:val="946"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460E5ED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21</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8FD3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030410002003</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F90AC">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横担组装</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EA0F7">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名称：四回横担2</w:t>
            </w:r>
          </w:p>
          <w:p w14:paraId="596FD317">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2.</w:t>
            </w:r>
            <w:r>
              <w:rPr>
                <w:rFonts w:ascii="宋体" w:hAnsi="宋体" w:eastAsia="宋体" w:cs="宋体"/>
                <w:color w:val="auto"/>
                <w:spacing w:val="-2"/>
                <w:sz w:val="21"/>
                <w:highlight w:val="none"/>
              </w:rPr>
              <w:t>规格：∠80mm×8mm×2600mm</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6290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组</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6E10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32</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AC7EC1A">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ADD78F">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24CC1AA8">
            <w:pPr>
              <w:spacing w:line="232" w:lineRule="auto"/>
              <w:jc w:val="right"/>
              <w:rPr>
                <w:rFonts w:ascii="宋体" w:hAnsi="宋体" w:eastAsia="宋体" w:cs="宋体"/>
                <w:color w:val="auto"/>
                <w:spacing w:val="-2"/>
                <w:sz w:val="21"/>
                <w:highlight w:val="none"/>
              </w:rPr>
            </w:pPr>
          </w:p>
        </w:tc>
      </w:tr>
      <w:tr w14:paraId="2C4CDBD7">
        <w:tblPrEx>
          <w:tblCellMar>
            <w:top w:w="0" w:type="dxa"/>
            <w:left w:w="0" w:type="dxa"/>
            <w:bottom w:w="0" w:type="dxa"/>
            <w:right w:w="0" w:type="dxa"/>
          </w:tblCellMar>
        </w:tblPrEx>
        <w:trPr>
          <w:trHeight w:val="807"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6B7D98C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22</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B6E3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030410002005</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28775">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横担组装</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5FAB9">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名称：爬线横担</w:t>
            </w:r>
          </w:p>
          <w:p w14:paraId="403B46F9">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2.</w:t>
            </w:r>
            <w:r>
              <w:rPr>
                <w:rFonts w:ascii="宋体" w:hAnsi="宋体" w:eastAsia="宋体" w:cs="宋体"/>
                <w:color w:val="auto"/>
                <w:spacing w:val="-2"/>
                <w:sz w:val="21"/>
                <w:highlight w:val="none"/>
              </w:rPr>
              <w:t>规格：∠63mm×6mm×2300mm</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EEA7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组</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6EAF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ED968D1">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6EF1FA">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7746B9FE">
            <w:pPr>
              <w:spacing w:line="232" w:lineRule="auto"/>
              <w:jc w:val="right"/>
              <w:rPr>
                <w:rFonts w:ascii="宋体" w:hAnsi="宋体" w:eastAsia="宋体" w:cs="宋体"/>
                <w:color w:val="auto"/>
                <w:spacing w:val="-2"/>
                <w:sz w:val="21"/>
                <w:highlight w:val="none"/>
              </w:rPr>
            </w:pPr>
          </w:p>
        </w:tc>
      </w:tr>
      <w:tr w14:paraId="3A5EC7CA">
        <w:tblPrEx>
          <w:tblCellMar>
            <w:top w:w="0" w:type="dxa"/>
            <w:left w:w="0" w:type="dxa"/>
            <w:bottom w:w="0" w:type="dxa"/>
            <w:right w:w="0" w:type="dxa"/>
          </w:tblCellMar>
        </w:tblPrEx>
        <w:trPr>
          <w:trHeight w:val="904"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7A774F5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0D40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030410002007</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97FE7">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横担组装</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36BDD">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名称：斜撑</w:t>
            </w:r>
          </w:p>
          <w:p w14:paraId="12593C9C">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2.</w:t>
            </w:r>
            <w:r>
              <w:rPr>
                <w:rFonts w:ascii="宋体" w:hAnsi="宋体" w:eastAsia="宋体" w:cs="宋体"/>
                <w:color w:val="auto"/>
                <w:spacing w:val="-2"/>
                <w:sz w:val="21"/>
                <w:highlight w:val="none"/>
              </w:rPr>
              <w:t>规格：∠50mm×5mm×1000mm</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07BF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组</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05B1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36</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3439D29">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946B78">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453A1515">
            <w:pPr>
              <w:spacing w:line="232" w:lineRule="auto"/>
              <w:jc w:val="right"/>
              <w:rPr>
                <w:rFonts w:ascii="宋体" w:hAnsi="宋体" w:eastAsia="宋体" w:cs="宋体"/>
                <w:color w:val="auto"/>
                <w:spacing w:val="-2"/>
                <w:sz w:val="21"/>
                <w:highlight w:val="none"/>
              </w:rPr>
            </w:pPr>
          </w:p>
        </w:tc>
      </w:tr>
      <w:tr w14:paraId="34682479">
        <w:tblPrEx>
          <w:tblCellMar>
            <w:top w:w="0" w:type="dxa"/>
            <w:left w:w="0" w:type="dxa"/>
            <w:bottom w:w="0" w:type="dxa"/>
            <w:right w:w="0" w:type="dxa"/>
          </w:tblCellMar>
        </w:tblPrEx>
        <w:trPr>
          <w:trHeight w:val="946"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195CB7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24</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A033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030409001001</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6C4EF">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接地极</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2B01E">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名称：垂直接地极</w:t>
            </w:r>
          </w:p>
          <w:p w14:paraId="40675D64">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2、规格：∠50*5*2500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FD89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根</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块</w:t>
            </w:r>
            <w:r>
              <w:rPr>
                <w:rFonts w:hint="eastAsia" w:ascii="宋体" w:hAnsi="宋体" w:cs="宋体"/>
                <w:color w:val="auto"/>
                <w:spacing w:val="-2"/>
                <w:sz w:val="21"/>
                <w:highlight w:val="none"/>
                <w:lang w:eastAsia="zh-CN"/>
              </w:rPr>
              <w:t>）</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2ACC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25</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40368CA">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527180">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7D67BD99">
            <w:pPr>
              <w:spacing w:line="232" w:lineRule="auto"/>
              <w:jc w:val="right"/>
              <w:rPr>
                <w:rFonts w:ascii="宋体" w:hAnsi="宋体" w:eastAsia="宋体" w:cs="宋体"/>
                <w:color w:val="auto"/>
                <w:spacing w:val="-2"/>
                <w:sz w:val="21"/>
                <w:highlight w:val="none"/>
              </w:rPr>
            </w:pPr>
          </w:p>
        </w:tc>
      </w:tr>
      <w:tr w14:paraId="0ACE9672">
        <w:tblPrEx>
          <w:tblCellMar>
            <w:top w:w="0" w:type="dxa"/>
            <w:left w:w="0" w:type="dxa"/>
            <w:bottom w:w="0" w:type="dxa"/>
            <w:right w:w="0" w:type="dxa"/>
          </w:tblCellMar>
        </w:tblPrEx>
        <w:trPr>
          <w:trHeight w:val="549" w:hRule="exact"/>
        </w:trPr>
        <w:tc>
          <w:tcPr>
            <w:tcW w:w="8336" w:type="dxa"/>
            <w:gridSpan w:val="9"/>
            <w:tcBorders>
              <w:top w:val="single" w:color="000000" w:sz="4" w:space="0"/>
              <w:left w:val="single" w:color="000000" w:sz="10" w:space="0"/>
              <w:bottom w:val="single" w:color="auto" w:sz="4" w:space="0"/>
              <w:right w:val="single" w:color="000000" w:sz="4" w:space="0"/>
            </w:tcBorders>
            <w:shd w:val="clear" w:color="auto" w:fill="auto"/>
            <w:vAlign w:val="center"/>
          </w:tcPr>
          <w:p w14:paraId="3370D04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本页小计</w:t>
            </w:r>
          </w:p>
        </w:tc>
        <w:tc>
          <w:tcPr>
            <w:tcW w:w="1141" w:type="dxa"/>
            <w:gridSpan w:val="2"/>
            <w:tcBorders>
              <w:top w:val="single" w:color="000000" w:sz="4" w:space="0"/>
              <w:left w:val="single" w:color="000000" w:sz="4" w:space="0"/>
              <w:bottom w:val="single" w:color="auto" w:sz="4" w:space="0"/>
              <w:right w:val="single" w:color="000000" w:sz="4" w:space="0"/>
            </w:tcBorders>
            <w:shd w:val="clear" w:color="auto" w:fill="auto"/>
          </w:tcPr>
          <w:p w14:paraId="34E8BD70">
            <w:pPr>
              <w:spacing w:line="232" w:lineRule="auto"/>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auto" w:sz="4" w:space="0"/>
              <w:right w:val="single" w:color="000000" w:sz="10" w:space="0"/>
            </w:tcBorders>
            <w:shd w:val="clear" w:color="auto" w:fill="auto"/>
          </w:tcPr>
          <w:p w14:paraId="53162F80">
            <w:pPr>
              <w:spacing w:line="232" w:lineRule="auto"/>
              <w:rPr>
                <w:rFonts w:ascii="宋体" w:hAnsi="宋体" w:eastAsia="宋体" w:cs="宋体"/>
                <w:color w:val="auto"/>
                <w:spacing w:val="-2"/>
                <w:sz w:val="21"/>
                <w:highlight w:val="none"/>
              </w:rPr>
            </w:pPr>
          </w:p>
        </w:tc>
      </w:tr>
      <w:tr w14:paraId="156E442C">
        <w:tblPrEx>
          <w:tblCellMar>
            <w:top w:w="0" w:type="dxa"/>
            <w:left w:w="0" w:type="dxa"/>
            <w:bottom w:w="0" w:type="dxa"/>
            <w:right w:w="0" w:type="dxa"/>
          </w:tblCellMar>
        </w:tblPrEx>
        <w:trPr>
          <w:trHeight w:val="674" w:hRule="exact"/>
        </w:trPr>
        <w:tc>
          <w:tcPr>
            <w:tcW w:w="10446" w:type="dxa"/>
            <w:gridSpan w:val="12"/>
            <w:tcBorders>
              <w:top w:val="single" w:color="auto" w:sz="4" w:space="0"/>
              <w:left w:val="single" w:color="auto" w:sz="4" w:space="0"/>
              <w:bottom w:val="single" w:color="auto" w:sz="4" w:space="0"/>
              <w:right w:val="single" w:color="auto" w:sz="4" w:space="0"/>
            </w:tcBorders>
            <w:shd w:val="clear" w:color="auto" w:fill="auto"/>
            <w:vAlign w:val="center"/>
          </w:tcPr>
          <w:p w14:paraId="7E866D8C">
            <w:pPr>
              <w:spacing w:line="232" w:lineRule="auto"/>
              <w:jc w:val="center"/>
              <w:rPr>
                <w:rFonts w:hint="eastAsia" w:ascii="宋体" w:hAnsi="宋体" w:eastAsia="宋体" w:cs="宋体"/>
                <w:b/>
                <w:color w:val="auto"/>
                <w:spacing w:val="-2"/>
                <w:sz w:val="32"/>
                <w:highlight w:val="none"/>
                <w:lang w:eastAsia="zh-CN"/>
              </w:rPr>
            </w:pPr>
            <w:r>
              <w:rPr>
                <w:rFonts w:hint="eastAsia" w:ascii="宋体" w:hAnsi="宋体" w:eastAsia="宋体" w:cs="宋体"/>
                <w:b/>
                <w:color w:val="auto"/>
                <w:spacing w:val="-2"/>
                <w:sz w:val="32"/>
                <w:highlight w:val="none"/>
                <w:lang w:eastAsia="zh-CN"/>
              </w:rPr>
              <w:t>全费用工程量清单与计价表</w:t>
            </w:r>
          </w:p>
        </w:tc>
      </w:tr>
      <w:tr w14:paraId="63582D9B">
        <w:tblPrEx>
          <w:tblCellMar>
            <w:top w:w="0" w:type="dxa"/>
            <w:left w:w="0" w:type="dxa"/>
            <w:bottom w:w="0" w:type="dxa"/>
            <w:right w:w="0" w:type="dxa"/>
          </w:tblCellMar>
        </w:tblPrEx>
        <w:trPr>
          <w:trHeight w:val="344" w:hRule="exact"/>
        </w:trPr>
        <w:tc>
          <w:tcPr>
            <w:tcW w:w="5508"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2AC21AFF">
            <w:pPr>
              <w:spacing w:line="232" w:lineRule="auto"/>
              <w:rPr>
                <w:rFonts w:ascii="黑体" w:hAnsi="黑体" w:eastAsia="黑体" w:cs="黑体"/>
                <w:color w:val="auto"/>
                <w:spacing w:val="-2"/>
                <w:sz w:val="21"/>
                <w:highlight w:val="none"/>
              </w:rPr>
            </w:pPr>
            <w:r>
              <w:rPr>
                <w:rFonts w:ascii="黑体" w:hAnsi="黑体" w:eastAsia="黑体" w:cs="黑体"/>
                <w:color w:val="auto"/>
                <w:spacing w:val="-2"/>
                <w:sz w:val="21"/>
                <w:highlight w:val="none"/>
              </w:rPr>
              <w:t>工程名称：安装</w:t>
            </w:r>
          </w:p>
        </w:tc>
        <w:tc>
          <w:tcPr>
            <w:tcW w:w="284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5122CB7C">
            <w:pPr>
              <w:spacing w:line="232" w:lineRule="auto"/>
              <w:rPr>
                <w:rFonts w:ascii="黑体" w:hAnsi="黑体" w:eastAsia="黑体" w:cs="黑体"/>
                <w:color w:val="auto"/>
                <w:spacing w:val="-2"/>
                <w:sz w:val="21"/>
                <w:highlight w:val="none"/>
              </w:rPr>
            </w:pPr>
            <w:r>
              <w:rPr>
                <w:rFonts w:ascii="黑体" w:hAnsi="黑体" w:eastAsia="黑体" w:cs="黑体"/>
                <w:color w:val="auto"/>
                <w:spacing w:val="-2"/>
                <w:sz w:val="21"/>
                <w:highlight w:val="none"/>
              </w:rPr>
              <w:t>标段：</w:t>
            </w:r>
          </w:p>
        </w:tc>
        <w:tc>
          <w:tcPr>
            <w:tcW w:w="209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D86AE21">
            <w:pPr>
              <w:spacing w:line="232" w:lineRule="auto"/>
              <w:jc w:val="right"/>
              <w:rPr>
                <w:rFonts w:ascii="黑体" w:hAnsi="黑体" w:eastAsia="黑体" w:cs="黑体"/>
                <w:color w:val="auto"/>
                <w:spacing w:val="-2"/>
                <w:sz w:val="21"/>
                <w:highlight w:val="none"/>
              </w:rPr>
            </w:pPr>
            <w:r>
              <w:rPr>
                <w:rFonts w:ascii="黑体" w:hAnsi="黑体" w:eastAsia="黑体" w:cs="黑体"/>
                <w:color w:val="auto"/>
                <w:spacing w:val="-2"/>
                <w:sz w:val="21"/>
                <w:highlight w:val="none"/>
              </w:rPr>
              <w:t>第3页 共5页</w:t>
            </w:r>
          </w:p>
        </w:tc>
      </w:tr>
      <w:tr w14:paraId="27D37BDE">
        <w:tblPrEx>
          <w:tblCellMar>
            <w:top w:w="0" w:type="dxa"/>
            <w:left w:w="0" w:type="dxa"/>
            <w:bottom w:w="0" w:type="dxa"/>
            <w:right w:w="0" w:type="dxa"/>
          </w:tblCellMar>
        </w:tblPrEx>
        <w:trPr>
          <w:trHeight w:val="301" w:hRule="exact"/>
        </w:trPr>
        <w:tc>
          <w:tcPr>
            <w:tcW w:w="544" w:type="dxa"/>
            <w:vMerge w:val="restart"/>
            <w:tcBorders>
              <w:top w:val="single" w:color="auto" w:sz="4" w:space="0"/>
              <w:left w:val="single" w:color="000000" w:sz="10" w:space="0"/>
              <w:bottom w:val="single" w:color="auto" w:sz="4" w:space="0"/>
              <w:right w:val="single" w:color="000000" w:sz="4" w:space="0"/>
            </w:tcBorders>
            <w:shd w:val="clear" w:color="auto" w:fill="FFFFFF"/>
            <w:vAlign w:val="center"/>
          </w:tcPr>
          <w:p w14:paraId="77656B18">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序号</w:t>
            </w:r>
          </w:p>
        </w:tc>
        <w:tc>
          <w:tcPr>
            <w:tcW w:w="888"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51C7CC65">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项目编码</w:t>
            </w:r>
          </w:p>
        </w:tc>
        <w:tc>
          <w:tcPr>
            <w:tcW w:w="1182"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7DC23A94">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项目名称</w:t>
            </w:r>
          </w:p>
        </w:tc>
        <w:tc>
          <w:tcPr>
            <w:tcW w:w="2894"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4AC41F39">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项目特征描述</w:t>
            </w:r>
          </w:p>
        </w:tc>
        <w:tc>
          <w:tcPr>
            <w:tcW w:w="823"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40637189">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计量</w:t>
            </w:r>
          </w:p>
          <w:p w14:paraId="2E76F20C">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单位</w:t>
            </w:r>
          </w:p>
        </w:tc>
        <w:tc>
          <w:tcPr>
            <w:tcW w:w="837"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3F1DBF92">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工程量</w:t>
            </w:r>
          </w:p>
        </w:tc>
        <w:tc>
          <w:tcPr>
            <w:tcW w:w="3278" w:type="dxa"/>
            <w:gridSpan w:val="6"/>
            <w:tcBorders>
              <w:top w:val="single" w:color="auto" w:sz="4" w:space="0"/>
              <w:left w:val="single" w:color="000000" w:sz="4" w:space="0"/>
              <w:bottom w:val="single" w:color="auto" w:sz="4" w:space="0"/>
              <w:right w:val="single" w:color="000000" w:sz="10" w:space="0"/>
            </w:tcBorders>
            <w:shd w:val="clear" w:color="auto" w:fill="FFFFFF"/>
            <w:vAlign w:val="center"/>
          </w:tcPr>
          <w:p w14:paraId="248934F4">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金额（元）</w:t>
            </w:r>
          </w:p>
        </w:tc>
      </w:tr>
      <w:tr w14:paraId="6EB94A6A">
        <w:tblPrEx>
          <w:tblCellMar>
            <w:top w:w="0" w:type="dxa"/>
            <w:left w:w="0" w:type="dxa"/>
            <w:bottom w:w="0" w:type="dxa"/>
            <w:right w:w="0" w:type="dxa"/>
          </w:tblCellMar>
        </w:tblPrEx>
        <w:trPr>
          <w:trHeight w:val="301" w:hRule="exact"/>
        </w:trPr>
        <w:tc>
          <w:tcPr>
            <w:tcW w:w="544" w:type="dxa"/>
            <w:vMerge w:val="continue"/>
            <w:tcBorders>
              <w:top w:val="single" w:color="auto" w:sz="4" w:space="0"/>
              <w:left w:val="single" w:color="000000" w:sz="10" w:space="0"/>
              <w:bottom w:val="single" w:color="auto" w:sz="4" w:space="0"/>
              <w:right w:val="single" w:color="000000" w:sz="4" w:space="0"/>
            </w:tcBorders>
            <w:shd w:val="clear" w:color="auto" w:fill="FFFFFF"/>
            <w:vAlign w:val="center"/>
          </w:tcPr>
          <w:p w14:paraId="005379E5">
            <w:pPr>
              <w:rPr>
                <w:color w:val="auto"/>
                <w:highlight w:val="none"/>
              </w:rPr>
            </w:pPr>
          </w:p>
        </w:tc>
        <w:tc>
          <w:tcPr>
            <w:tcW w:w="888"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671059A9">
            <w:pPr>
              <w:rPr>
                <w:color w:val="auto"/>
                <w:highlight w:val="none"/>
              </w:rPr>
            </w:pPr>
          </w:p>
        </w:tc>
        <w:tc>
          <w:tcPr>
            <w:tcW w:w="1182"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09909B16">
            <w:pPr>
              <w:rPr>
                <w:color w:val="auto"/>
                <w:highlight w:val="none"/>
              </w:rPr>
            </w:pPr>
          </w:p>
        </w:tc>
        <w:tc>
          <w:tcPr>
            <w:tcW w:w="2894"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342F1B75">
            <w:pPr>
              <w:rPr>
                <w:color w:val="auto"/>
                <w:highlight w:val="none"/>
              </w:rPr>
            </w:pPr>
          </w:p>
        </w:tc>
        <w:tc>
          <w:tcPr>
            <w:tcW w:w="823"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2D354AE1">
            <w:pPr>
              <w:rPr>
                <w:color w:val="auto"/>
                <w:highlight w:val="none"/>
              </w:rPr>
            </w:pPr>
          </w:p>
        </w:tc>
        <w:tc>
          <w:tcPr>
            <w:tcW w:w="837"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7495B941">
            <w:pPr>
              <w:rPr>
                <w:color w:val="auto"/>
                <w:highlight w:val="none"/>
              </w:rPr>
            </w:pPr>
          </w:p>
        </w:tc>
        <w:tc>
          <w:tcPr>
            <w:tcW w:w="1168" w:type="dxa"/>
            <w:gridSpan w:val="3"/>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2B41474E">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综合单价</w:t>
            </w:r>
          </w:p>
        </w:tc>
        <w:tc>
          <w:tcPr>
            <w:tcW w:w="1141" w:type="dxa"/>
            <w:gridSpan w:val="2"/>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6F08B430">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合价</w:t>
            </w:r>
          </w:p>
        </w:tc>
        <w:tc>
          <w:tcPr>
            <w:tcW w:w="969" w:type="dxa"/>
            <w:tcBorders>
              <w:top w:val="single" w:color="auto" w:sz="4" w:space="0"/>
              <w:left w:val="single" w:color="000000" w:sz="4" w:space="0"/>
              <w:bottom w:val="single" w:color="auto" w:sz="4" w:space="0"/>
              <w:right w:val="single" w:color="000000" w:sz="10" w:space="0"/>
            </w:tcBorders>
            <w:shd w:val="clear" w:color="auto" w:fill="FFFFFF"/>
            <w:vAlign w:val="center"/>
          </w:tcPr>
          <w:p w14:paraId="4044D225">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其中</w:t>
            </w:r>
          </w:p>
        </w:tc>
      </w:tr>
      <w:tr w14:paraId="431E859E">
        <w:tblPrEx>
          <w:tblCellMar>
            <w:top w:w="0" w:type="dxa"/>
            <w:left w:w="0" w:type="dxa"/>
            <w:bottom w:w="0" w:type="dxa"/>
            <w:right w:w="0" w:type="dxa"/>
          </w:tblCellMar>
        </w:tblPrEx>
        <w:trPr>
          <w:trHeight w:val="286" w:hRule="exact"/>
        </w:trPr>
        <w:tc>
          <w:tcPr>
            <w:tcW w:w="544" w:type="dxa"/>
            <w:vMerge w:val="continue"/>
            <w:tcBorders>
              <w:top w:val="single" w:color="auto" w:sz="4" w:space="0"/>
              <w:left w:val="single" w:color="000000" w:sz="10" w:space="0"/>
              <w:bottom w:val="single" w:color="000000" w:sz="4" w:space="0"/>
              <w:right w:val="single" w:color="000000" w:sz="4" w:space="0"/>
            </w:tcBorders>
            <w:shd w:val="clear" w:color="auto" w:fill="FFFFFF"/>
            <w:vAlign w:val="center"/>
          </w:tcPr>
          <w:p w14:paraId="5BEDB21B">
            <w:pPr>
              <w:rPr>
                <w:color w:val="auto"/>
                <w:highlight w:val="none"/>
              </w:rPr>
            </w:pPr>
          </w:p>
        </w:tc>
        <w:tc>
          <w:tcPr>
            <w:tcW w:w="888"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088D68D1">
            <w:pPr>
              <w:rPr>
                <w:color w:val="auto"/>
                <w:highlight w:val="none"/>
              </w:rPr>
            </w:pPr>
          </w:p>
        </w:tc>
        <w:tc>
          <w:tcPr>
            <w:tcW w:w="1182"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1579DB2A">
            <w:pPr>
              <w:rPr>
                <w:color w:val="auto"/>
                <w:highlight w:val="none"/>
              </w:rPr>
            </w:pPr>
          </w:p>
        </w:tc>
        <w:tc>
          <w:tcPr>
            <w:tcW w:w="2894"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1238D74D">
            <w:pPr>
              <w:rPr>
                <w:color w:val="auto"/>
                <w:highlight w:val="none"/>
              </w:rPr>
            </w:pPr>
          </w:p>
        </w:tc>
        <w:tc>
          <w:tcPr>
            <w:tcW w:w="823"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168852BA">
            <w:pPr>
              <w:rPr>
                <w:color w:val="auto"/>
                <w:highlight w:val="none"/>
              </w:rPr>
            </w:pPr>
          </w:p>
        </w:tc>
        <w:tc>
          <w:tcPr>
            <w:tcW w:w="837"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10DBDCE1">
            <w:pPr>
              <w:rPr>
                <w:color w:val="auto"/>
                <w:highlight w:val="none"/>
              </w:rPr>
            </w:pPr>
          </w:p>
        </w:tc>
        <w:tc>
          <w:tcPr>
            <w:tcW w:w="1168" w:type="dxa"/>
            <w:gridSpan w:val="3"/>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711789C5">
            <w:pPr>
              <w:rPr>
                <w:color w:val="auto"/>
                <w:highlight w:val="none"/>
              </w:rPr>
            </w:pPr>
          </w:p>
        </w:tc>
        <w:tc>
          <w:tcPr>
            <w:tcW w:w="1141" w:type="dxa"/>
            <w:gridSpan w:val="2"/>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585D5C70">
            <w:pPr>
              <w:rPr>
                <w:color w:val="auto"/>
                <w:highlight w:val="none"/>
              </w:rPr>
            </w:pPr>
          </w:p>
        </w:tc>
        <w:tc>
          <w:tcPr>
            <w:tcW w:w="969" w:type="dxa"/>
            <w:tcBorders>
              <w:top w:val="single" w:color="auto" w:sz="4" w:space="0"/>
              <w:left w:val="single" w:color="000000" w:sz="4" w:space="0"/>
              <w:bottom w:val="single" w:color="000000" w:sz="4" w:space="0"/>
              <w:right w:val="single" w:color="000000" w:sz="10" w:space="0"/>
            </w:tcBorders>
            <w:shd w:val="clear" w:color="auto" w:fill="FFFFFF"/>
            <w:vAlign w:val="center"/>
          </w:tcPr>
          <w:p w14:paraId="7B4EB83B">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暂估价</w:t>
            </w:r>
          </w:p>
        </w:tc>
      </w:tr>
      <w:tr w14:paraId="26F24A84">
        <w:tblPrEx>
          <w:tblCellMar>
            <w:top w:w="0" w:type="dxa"/>
            <w:left w:w="0" w:type="dxa"/>
            <w:bottom w:w="0" w:type="dxa"/>
            <w:right w:w="0" w:type="dxa"/>
          </w:tblCellMar>
        </w:tblPrEx>
        <w:trPr>
          <w:trHeight w:val="502"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770A1A2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25</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0AC3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030409002001</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8777D">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接地母线</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B0AFF">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名称：扁铁</w:t>
            </w:r>
          </w:p>
          <w:p w14:paraId="1AE2E7E3">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2、规格：-5*50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F94D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m</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9073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102</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8B2C112">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A4C276">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122E6747">
            <w:pPr>
              <w:spacing w:line="232" w:lineRule="auto"/>
              <w:jc w:val="right"/>
              <w:rPr>
                <w:rFonts w:ascii="宋体" w:hAnsi="宋体" w:eastAsia="宋体" w:cs="宋体"/>
                <w:color w:val="auto"/>
                <w:spacing w:val="-2"/>
                <w:sz w:val="21"/>
                <w:highlight w:val="none"/>
              </w:rPr>
            </w:pPr>
          </w:p>
        </w:tc>
      </w:tr>
      <w:tr w14:paraId="05377633">
        <w:tblPrEx>
          <w:tblCellMar>
            <w:top w:w="0" w:type="dxa"/>
            <w:left w:w="0" w:type="dxa"/>
            <w:bottom w:w="0" w:type="dxa"/>
            <w:right w:w="0" w:type="dxa"/>
          </w:tblCellMar>
        </w:tblPrEx>
        <w:trPr>
          <w:trHeight w:val="1151"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1C0ED31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26</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BA2C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030413001006</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1FBDD">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线路柱式瓷绝缘子</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4A59A">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名称：线路柱式瓷绝缘子</w:t>
            </w:r>
          </w:p>
          <w:p w14:paraId="5B019691">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2.</w:t>
            </w:r>
            <w:r>
              <w:rPr>
                <w:rFonts w:ascii="宋体" w:hAnsi="宋体" w:eastAsia="宋体" w:cs="宋体"/>
                <w:color w:val="auto"/>
                <w:spacing w:val="-2"/>
                <w:sz w:val="21"/>
                <w:highlight w:val="none"/>
              </w:rPr>
              <w:t>规格：R5ET105L,125,283,360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112A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114C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178</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FF891BB">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021ACF">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48404341">
            <w:pPr>
              <w:spacing w:line="232" w:lineRule="auto"/>
              <w:jc w:val="right"/>
              <w:rPr>
                <w:rFonts w:ascii="宋体" w:hAnsi="宋体" w:eastAsia="宋体" w:cs="宋体"/>
                <w:color w:val="auto"/>
                <w:spacing w:val="-2"/>
                <w:sz w:val="21"/>
                <w:highlight w:val="none"/>
              </w:rPr>
            </w:pPr>
          </w:p>
        </w:tc>
      </w:tr>
      <w:tr w14:paraId="2E53931A">
        <w:tblPrEx>
          <w:tblCellMar>
            <w:top w:w="0" w:type="dxa"/>
            <w:left w:w="0" w:type="dxa"/>
            <w:bottom w:w="0" w:type="dxa"/>
            <w:right w:w="0" w:type="dxa"/>
          </w:tblCellMar>
        </w:tblPrEx>
        <w:trPr>
          <w:trHeight w:val="856"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6A5C94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27</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5980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030413001007</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EA79D">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交流棒形悬式复合绝缘子</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BE2E8">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交流棒形悬式复合绝缘子FXBW-10/70</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含上下均压环</w:t>
            </w:r>
            <w:r>
              <w:rPr>
                <w:rFonts w:hint="eastAsia" w:ascii="宋体" w:hAnsi="宋体" w:cs="宋体"/>
                <w:color w:val="auto"/>
                <w:spacing w:val="-2"/>
                <w:sz w:val="21"/>
                <w:highlight w:val="none"/>
                <w:lang w:eastAsia="zh-CN"/>
              </w:rPr>
              <w:t>）</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97F7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72A5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108</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FF6B2E4">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0D0E02">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1998B075">
            <w:pPr>
              <w:spacing w:line="232" w:lineRule="auto"/>
              <w:jc w:val="right"/>
              <w:rPr>
                <w:rFonts w:ascii="宋体" w:hAnsi="宋体" w:eastAsia="宋体" w:cs="宋体"/>
                <w:color w:val="auto"/>
                <w:spacing w:val="-2"/>
                <w:sz w:val="21"/>
                <w:highlight w:val="none"/>
              </w:rPr>
            </w:pPr>
          </w:p>
        </w:tc>
      </w:tr>
      <w:tr w14:paraId="31A04C8A">
        <w:tblPrEx>
          <w:tblCellMar>
            <w:top w:w="0" w:type="dxa"/>
            <w:left w:w="0" w:type="dxa"/>
            <w:bottom w:w="0" w:type="dxa"/>
            <w:right w:w="0" w:type="dxa"/>
          </w:tblCellMar>
        </w:tblPrEx>
        <w:trPr>
          <w:trHeight w:val="960"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6E5BA89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28</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78A5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030410001037</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1CD00">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悬式瓷绝缘子</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9EC8A">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名称：悬式瓷绝缘子</w:t>
            </w:r>
          </w:p>
          <w:p w14:paraId="48CEBEEE">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2.</w:t>
            </w:r>
            <w:r>
              <w:rPr>
                <w:rFonts w:ascii="宋体" w:hAnsi="宋体" w:eastAsia="宋体" w:cs="宋体"/>
                <w:color w:val="auto"/>
                <w:spacing w:val="-2"/>
                <w:sz w:val="21"/>
                <w:highlight w:val="none"/>
              </w:rPr>
              <w:t>规格：U40C/140D</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7E8A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片</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CCF7B">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36</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2F00134">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2890F3">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27454D4F">
            <w:pPr>
              <w:spacing w:line="232" w:lineRule="auto"/>
              <w:jc w:val="right"/>
              <w:rPr>
                <w:rFonts w:ascii="宋体" w:hAnsi="宋体" w:eastAsia="宋体" w:cs="宋体"/>
                <w:color w:val="auto"/>
                <w:spacing w:val="-2"/>
                <w:sz w:val="21"/>
                <w:highlight w:val="none"/>
              </w:rPr>
            </w:pPr>
          </w:p>
        </w:tc>
      </w:tr>
      <w:tr w14:paraId="7050C6B5">
        <w:tblPrEx>
          <w:tblCellMar>
            <w:top w:w="0" w:type="dxa"/>
            <w:left w:w="0" w:type="dxa"/>
            <w:bottom w:w="0" w:type="dxa"/>
            <w:right w:w="0" w:type="dxa"/>
          </w:tblCellMar>
        </w:tblPrEx>
        <w:trPr>
          <w:trHeight w:val="487"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7E069FE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29</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F684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030413001015</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E6C73">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直角挂板</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221CE">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联结金具-直角挂板</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Z-10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5C2D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6E08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108</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1B7206C">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B1B9EA">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137A7D17">
            <w:pPr>
              <w:spacing w:line="232" w:lineRule="auto"/>
              <w:jc w:val="right"/>
              <w:rPr>
                <w:rFonts w:ascii="宋体" w:hAnsi="宋体" w:eastAsia="宋体" w:cs="宋体"/>
                <w:color w:val="auto"/>
                <w:spacing w:val="-2"/>
                <w:sz w:val="21"/>
                <w:highlight w:val="none"/>
              </w:rPr>
            </w:pPr>
          </w:p>
        </w:tc>
      </w:tr>
      <w:tr w14:paraId="472C9241">
        <w:tblPrEx>
          <w:tblCellMar>
            <w:top w:w="0" w:type="dxa"/>
            <w:left w:w="0" w:type="dxa"/>
            <w:bottom w:w="0" w:type="dxa"/>
            <w:right w:w="0" w:type="dxa"/>
          </w:tblCellMar>
        </w:tblPrEx>
        <w:trPr>
          <w:trHeight w:val="487"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5E36DAB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30</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CDC9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030413001017</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ED22E">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球头挂环</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QP-7</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D5808">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联结金具</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球头挂环</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QP-10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6C7D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DD9C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108</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7184D5F">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DB5D28">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66932FD1">
            <w:pPr>
              <w:spacing w:line="232" w:lineRule="auto"/>
              <w:jc w:val="right"/>
              <w:rPr>
                <w:rFonts w:ascii="宋体" w:hAnsi="宋体" w:eastAsia="宋体" w:cs="宋体"/>
                <w:color w:val="auto"/>
                <w:spacing w:val="-2"/>
                <w:sz w:val="21"/>
                <w:highlight w:val="none"/>
              </w:rPr>
            </w:pPr>
          </w:p>
        </w:tc>
      </w:tr>
      <w:tr w14:paraId="0F0C82E5">
        <w:tblPrEx>
          <w:tblCellMar>
            <w:top w:w="0" w:type="dxa"/>
            <w:left w:w="0" w:type="dxa"/>
            <w:bottom w:w="0" w:type="dxa"/>
            <w:right w:w="0" w:type="dxa"/>
          </w:tblCellMar>
        </w:tblPrEx>
        <w:trPr>
          <w:trHeight w:val="487"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8D5667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31</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2FF2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030413001016</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12345">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碗头挂板</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78D76">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联结金具</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碗头挂板</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W-10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0CE2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4DF7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108</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EA661FE">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18D429">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17713A4A">
            <w:pPr>
              <w:spacing w:line="232" w:lineRule="auto"/>
              <w:jc w:val="right"/>
              <w:rPr>
                <w:rFonts w:ascii="宋体" w:hAnsi="宋体" w:eastAsia="宋体" w:cs="宋体"/>
                <w:color w:val="auto"/>
                <w:spacing w:val="-2"/>
                <w:sz w:val="21"/>
                <w:highlight w:val="none"/>
              </w:rPr>
            </w:pPr>
          </w:p>
        </w:tc>
      </w:tr>
      <w:tr w14:paraId="677BE495">
        <w:tblPrEx>
          <w:tblCellMar>
            <w:top w:w="0" w:type="dxa"/>
            <w:left w:w="0" w:type="dxa"/>
            <w:bottom w:w="0" w:type="dxa"/>
            <w:right w:w="0" w:type="dxa"/>
          </w:tblCellMar>
        </w:tblPrEx>
        <w:trPr>
          <w:trHeight w:val="502"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6C21BFB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32</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8813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030413001014</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7D181">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U型挂环</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DDDB5">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联结金具-U型挂环</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U10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3461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8F9E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108</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22478A1">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9DF143">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48D4DFF6">
            <w:pPr>
              <w:spacing w:line="232" w:lineRule="auto"/>
              <w:jc w:val="right"/>
              <w:rPr>
                <w:rFonts w:ascii="宋体" w:hAnsi="宋体" w:eastAsia="宋体" w:cs="宋体"/>
                <w:color w:val="auto"/>
                <w:spacing w:val="-2"/>
                <w:sz w:val="21"/>
                <w:highlight w:val="none"/>
              </w:rPr>
            </w:pPr>
          </w:p>
        </w:tc>
      </w:tr>
      <w:tr w14:paraId="7BE8EAFA">
        <w:tblPrEx>
          <w:tblCellMar>
            <w:top w:w="0" w:type="dxa"/>
            <w:left w:w="0" w:type="dxa"/>
            <w:bottom w:w="0" w:type="dxa"/>
            <w:right w:w="0" w:type="dxa"/>
          </w:tblCellMar>
        </w:tblPrEx>
        <w:trPr>
          <w:trHeight w:val="329"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7214F28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74D1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030413001060</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9E7C2">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耐张绝缘</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DBBC6">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NXJ-10kV-240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F109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付</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7732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108</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9C520CA">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6E1D6D">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6FC3523B">
            <w:pPr>
              <w:spacing w:line="232" w:lineRule="auto"/>
              <w:jc w:val="right"/>
              <w:rPr>
                <w:rFonts w:ascii="宋体" w:hAnsi="宋体" w:eastAsia="宋体" w:cs="宋体"/>
                <w:color w:val="auto"/>
                <w:spacing w:val="-2"/>
                <w:sz w:val="21"/>
                <w:highlight w:val="none"/>
              </w:rPr>
            </w:pPr>
          </w:p>
        </w:tc>
      </w:tr>
      <w:tr w14:paraId="2156FAA5">
        <w:tblPrEx>
          <w:tblCellMar>
            <w:top w:w="0" w:type="dxa"/>
            <w:left w:w="0" w:type="dxa"/>
            <w:bottom w:w="0" w:type="dxa"/>
            <w:right w:w="0" w:type="dxa"/>
          </w:tblCellMar>
        </w:tblPrEx>
        <w:trPr>
          <w:trHeight w:val="488"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1461468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34</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B409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030413001061</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38CF5">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直角挂板</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84440">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联结金具-直角挂板</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Z-7</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4C21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5B60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32</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B0FEBAA">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350EAC">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4F8DF115">
            <w:pPr>
              <w:spacing w:line="232" w:lineRule="auto"/>
              <w:jc w:val="right"/>
              <w:rPr>
                <w:rFonts w:ascii="宋体" w:hAnsi="宋体" w:eastAsia="宋体" w:cs="宋体"/>
                <w:color w:val="auto"/>
                <w:spacing w:val="-2"/>
                <w:sz w:val="21"/>
                <w:highlight w:val="none"/>
              </w:rPr>
            </w:pPr>
          </w:p>
        </w:tc>
      </w:tr>
      <w:tr w14:paraId="04DAF1C7">
        <w:tblPrEx>
          <w:tblCellMar>
            <w:top w:w="0" w:type="dxa"/>
            <w:left w:w="0" w:type="dxa"/>
            <w:bottom w:w="0" w:type="dxa"/>
            <w:right w:w="0" w:type="dxa"/>
          </w:tblCellMar>
        </w:tblPrEx>
        <w:trPr>
          <w:trHeight w:val="501"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63F0A91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35</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630A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030413001062</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5AD84">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球头挂环</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QP-7</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A4645">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联结金具</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球头挂环</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QP-7</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3C8E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2686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32</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4E8D55">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845081">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4D4A8315">
            <w:pPr>
              <w:spacing w:line="232" w:lineRule="auto"/>
              <w:jc w:val="right"/>
              <w:rPr>
                <w:rFonts w:ascii="宋体" w:hAnsi="宋体" w:eastAsia="宋体" w:cs="宋体"/>
                <w:color w:val="auto"/>
                <w:spacing w:val="-2"/>
                <w:sz w:val="21"/>
                <w:highlight w:val="none"/>
              </w:rPr>
            </w:pPr>
          </w:p>
        </w:tc>
      </w:tr>
      <w:tr w14:paraId="634323D2">
        <w:tblPrEx>
          <w:tblCellMar>
            <w:top w:w="0" w:type="dxa"/>
            <w:left w:w="0" w:type="dxa"/>
            <w:bottom w:w="0" w:type="dxa"/>
            <w:right w:w="0" w:type="dxa"/>
          </w:tblCellMar>
        </w:tblPrEx>
        <w:trPr>
          <w:trHeight w:val="716"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6A98124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36</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2226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030413001063</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E8ED2">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碗头挂板</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746C1">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联结金具-碗头挂板</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W-7BW-0770</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=W-7A)</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6CD9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7130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32</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31435B3">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A2A860">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3E2719F3">
            <w:pPr>
              <w:spacing w:line="232" w:lineRule="auto"/>
              <w:jc w:val="right"/>
              <w:rPr>
                <w:rFonts w:ascii="宋体" w:hAnsi="宋体" w:eastAsia="宋体" w:cs="宋体"/>
                <w:color w:val="auto"/>
                <w:spacing w:val="-2"/>
                <w:sz w:val="21"/>
                <w:highlight w:val="none"/>
              </w:rPr>
            </w:pPr>
          </w:p>
        </w:tc>
      </w:tr>
      <w:tr w14:paraId="236C362D">
        <w:tblPrEx>
          <w:tblCellMar>
            <w:top w:w="0" w:type="dxa"/>
            <w:left w:w="0" w:type="dxa"/>
            <w:bottom w:w="0" w:type="dxa"/>
            <w:right w:w="0" w:type="dxa"/>
          </w:tblCellMar>
        </w:tblPrEx>
        <w:trPr>
          <w:trHeight w:val="731"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21AE513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37</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9A8F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030410001038</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449AD">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耐张线夹</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FCC48">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名称：耐张线夹</w:t>
            </w:r>
          </w:p>
          <w:p w14:paraId="6F42FA99">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2.</w:t>
            </w:r>
            <w:r>
              <w:rPr>
                <w:rFonts w:ascii="宋体" w:hAnsi="宋体" w:eastAsia="宋体" w:cs="宋体"/>
                <w:color w:val="auto"/>
                <w:spacing w:val="-2"/>
                <w:sz w:val="21"/>
                <w:highlight w:val="none"/>
              </w:rPr>
              <w:t>规格：NXJ-1-120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3E83B">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BDB3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32</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C3E6F49">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BC7A2C">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367C39DF">
            <w:pPr>
              <w:spacing w:line="232" w:lineRule="auto"/>
              <w:jc w:val="right"/>
              <w:rPr>
                <w:rFonts w:ascii="宋体" w:hAnsi="宋体" w:eastAsia="宋体" w:cs="宋体"/>
                <w:color w:val="auto"/>
                <w:spacing w:val="-2"/>
                <w:sz w:val="21"/>
                <w:highlight w:val="none"/>
              </w:rPr>
            </w:pPr>
          </w:p>
        </w:tc>
      </w:tr>
      <w:tr w14:paraId="4A4B76A2">
        <w:tblPrEx>
          <w:tblCellMar>
            <w:top w:w="0" w:type="dxa"/>
            <w:left w:w="0" w:type="dxa"/>
            <w:bottom w:w="0" w:type="dxa"/>
            <w:right w:w="0" w:type="dxa"/>
          </w:tblCellMar>
        </w:tblPrEx>
        <w:trPr>
          <w:trHeight w:val="502"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598EB9A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38</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1E57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030410001015</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3D92D">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挂线连铁</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C4DDE">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名称：挂线连铁</w:t>
            </w:r>
          </w:p>
          <w:p w14:paraId="0E2D3002">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2.</w:t>
            </w:r>
            <w:r>
              <w:rPr>
                <w:rFonts w:ascii="宋体" w:hAnsi="宋体" w:eastAsia="宋体" w:cs="宋体"/>
                <w:color w:val="auto"/>
                <w:spacing w:val="-2"/>
                <w:sz w:val="21"/>
                <w:highlight w:val="none"/>
              </w:rPr>
              <w:t>规格：LT6-580G</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F066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块</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BFD9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14</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4A2621C">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D4E861">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4D1300D2">
            <w:pPr>
              <w:spacing w:line="232" w:lineRule="auto"/>
              <w:jc w:val="right"/>
              <w:rPr>
                <w:rFonts w:ascii="宋体" w:hAnsi="宋体" w:eastAsia="宋体" w:cs="宋体"/>
                <w:color w:val="auto"/>
                <w:spacing w:val="-2"/>
                <w:sz w:val="21"/>
                <w:highlight w:val="none"/>
              </w:rPr>
            </w:pPr>
          </w:p>
        </w:tc>
      </w:tr>
      <w:tr w14:paraId="3E291C09">
        <w:tblPrEx>
          <w:tblCellMar>
            <w:top w:w="0" w:type="dxa"/>
            <w:left w:w="0" w:type="dxa"/>
            <w:bottom w:w="0" w:type="dxa"/>
            <w:right w:w="0" w:type="dxa"/>
          </w:tblCellMar>
        </w:tblPrEx>
        <w:trPr>
          <w:trHeight w:val="329"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CBF0E9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39</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249E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030413001068</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55D67">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 xml:space="preserve">抱箍   </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20540">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抱箍   BG6-220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4294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6B04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7EFFF43">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A4100D">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7EBCDAAC">
            <w:pPr>
              <w:spacing w:line="232" w:lineRule="auto"/>
              <w:jc w:val="right"/>
              <w:rPr>
                <w:rFonts w:ascii="宋体" w:hAnsi="宋体" w:eastAsia="宋体" w:cs="宋体"/>
                <w:color w:val="auto"/>
                <w:spacing w:val="-2"/>
                <w:sz w:val="21"/>
                <w:highlight w:val="none"/>
              </w:rPr>
            </w:pPr>
          </w:p>
        </w:tc>
      </w:tr>
      <w:tr w14:paraId="63391359">
        <w:tblPrEx>
          <w:tblCellMar>
            <w:top w:w="0" w:type="dxa"/>
            <w:left w:w="0" w:type="dxa"/>
            <w:bottom w:w="0" w:type="dxa"/>
            <w:right w:w="0" w:type="dxa"/>
          </w:tblCellMar>
        </w:tblPrEx>
        <w:trPr>
          <w:trHeight w:val="344"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129D46B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40</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E66C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030413001057</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AE78A">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 xml:space="preserve">抱箍   </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B90AE">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抱箍   BG6-240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3DA3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9A58B">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20</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DF70F3F">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D7CFFD">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32EDD635">
            <w:pPr>
              <w:spacing w:line="232" w:lineRule="auto"/>
              <w:jc w:val="right"/>
              <w:rPr>
                <w:rFonts w:ascii="宋体" w:hAnsi="宋体" w:eastAsia="宋体" w:cs="宋体"/>
                <w:color w:val="auto"/>
                <w:spacing w:val="-2"/>
                <w:sz w:val="21"/>
                <w:highlight w:val="none"/>
              </w:rPr>
            </w:pPr>
          </w:p>
        </w:tc>
      </w:tr>
      <w:tr w14:paraId="3364E655">
        <w:tblPrEx>
          <w:tblCellMar>
            <w:top w:w="0" w:type="dxa"/>
            <w:left w:w="0" w:type="dxa"/>
            <w:bottom w:w="0" w:type="dxa"/>
            <w:right w:w="0" w:type="dxa"/>
          </w:tblCellMar>
        </w:tblPrEx>
        <w:trPr>
          <w:trHeight w:val="330"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2B48970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41</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6928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030413001064</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57484">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 xml:space="preserve">抱箍   </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CC682">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抱箍   BG6-260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B5BD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A8AE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33</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E06EEF4">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256752">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2F77DBD2">
            <w:pPr>
              <w:spacing w:line="232" w:lineRule="auto"/>
              <w:jc w:val="right"/>
              <w:rPr>
                <w:rFonts w:ascii="宋体" w:hAnsi="宋体" w:eastAsia="宋体" w:cs="宋体"/>
                <w:color w:val="auto"/>
                <w:spacing w:val="-2"/>
                <w:sz w:val="21"/>
                <w:highlight w:val="none"/>
              </w:rPr>
            </w:pPr>
          </w:p>
        </w:tc>
      </w:tr>
      <w:tr w14:paraId="4668E495">
        <w:tblPrEx>
          <w:tblCellMar>
            <w:top w:w="0" w:type="dxa"/>
            <w:left w:w="0" w:type="dxa"/>
            <w:bottom w:w="0" w:type="dxa"/>
            <w:right w:w="0" w:type="dxa"/>
          </w:tblCellMar>
        </w:tblPrEx>
        <w:trPr>
          <w:trHeight w:val="343"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7D74309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42</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3F43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030413001065</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18C21">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 xml:space="preserve">抱箍   </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5FF4B">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抱箍   BG6-280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96EC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D987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30</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0DEA7F9">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45D557">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5D92B387">
            <w:pPr>
              <w:spacing w:line="232" w:lineRule="auto"/>
              <w:jc w:val="right"/>
              <w:rPr>
                <w:rFonts w:ascii="宋体" w:hAnsi="宋体" w:eastAsia="宋体" w:cs="宋体"/>
                <w:color w:val="auto"/>
                <w:spacing w:val="-2"/>
                <w:sz w:val="21"/>
                <w:highlight w:val="none"/>
              </w:rPr>
            </w:pPr>
          </w:p>
        </w:tc>
      </w:tr>
      <w:tr w14:paraId="1C65A074">
        <w:tblPrEx>
          <w:tblCellMar>
            <w:top w:w="0" w:type="dxa"/>
            <w:left w:w="0" w:type="dxa"/>
            <w:bottom w:w="0" w:type="dxa"/>
            <w:right w:w="0" w:type="dxa"/>
          </w:tblCellMar>
        </w:tblPrEx>
        <w:trPr>
          <w:trHeight w:val="344"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6AA34E4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43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E0F4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030413001056</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710A9">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 xml:space="preserve">抱箍   </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5668C">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抱箍   BG6-300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1976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2306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7</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FAAFFC2">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0B778C">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1FB79976">
            <w:pPr>
              <w:spacing w:line="232" w:lineRule="auto"/>
              <w:jc w:val="right"/>
              <w:rPr>
                <w:rFonts w:ascii="宋体" w:hAnsi="宋体" w:eastAsia="宋体" w:cs="宋体"/>
                <w:color w:val="auto"/>
                <w:spacing w:val="-2"/>
                <w:sz w:val="21"/>
                <w:highlight w:val="none"/>
              </w:rPr>
            </w:pPr>
          </w:p>
        </w:tc>
      </w:tr>
      <w:tr w14:paraId="18772076">
        <w:tblPrEx>
          <w:tblCellMar>
            <w:top w:w="0" w:type="dxa"/>
            <w:left w:w="0" w:type="dxa"/>
            <w:bottom w:w="0" w:type="dxa"/>
            <w:right w:w="0" w:type="dxa"/>
          </w:tblCellMar>
        </w:tblPrEx>
        <w:trPr>
          <w:trHeight w:val="330"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5085A1A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44</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B8AF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030413001045</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F1FFB">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 xml:space="preserve">抱箍   </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357C3">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抱箍   BG6-320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BCCD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70A6B">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FB0B5A6">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EF6F16">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40802DC0">
            <w:pPr>
              <w:spacing w:line="232" w:lineRule="auto"/>
              <w:jc w:val="right"/>
              <w:rPr>
                <w:rFonts w:ascii="宋体" w:hAnsi="宋体" w:eastAsia="宋体" w:cs="宋体"/>
                <w:color w:val="auto"/>
                <w:spacing w:val="-2"/>
                <w:sz w:val="21"/>
                <w:highlight w:val="none"/>
              </w:rPr>
            </w:pPr>
          </w:p>
        </w:tc>
      </w:tr>
      <w:tr w14:paraId="78DF7E7D">
        <w:tblPrEx>
          <w:tblCellMar>
            <w:top w:w="0" w:type="dxa"/>
            <w:left w:w="0" w:type="dxa"/>
            <w:bottom w:w="0" w:type="dxa"/>
            <w:right w:w="0" w:type="dxa"/>
          </w:tblCellMar>
        </w:tblPrEx>
        <w:trPr>
          <w:trHeight w:val="344"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61B9BF9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45</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2890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030413001069</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4CC51">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 xml:space="preserve">抱箍   </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288B6">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抱箍   BG6-500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7240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9B8F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10</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BBED31">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139D42">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626D37A7">
            <w:pPr>
              <w:spacing w:line="232" w:lineRule="auto"/>
              <w:jc w:val="right"/>
              <w:rPr>
                <w:rFonts w:ascii="宋体" w:hAnsi="宋体" w:eastAsia="宋体" w:cs="宋体"/>
                <w:color w:val="auto"/>
                <w:spacing w:val="-2"/>
                <w:sz w:val="21"/>
                <w:highlight w:val="none"/>
              </w:rPr>
            </w:pPr>
          </w:p>
        </w:tc>
      </w:tr>
      <w:tr w14:paraId="2ACD5A9E">
        <w:tblPrEx>
          <w:tblCellMar>
            <w:top w:w="0" w:type="dxa"/>
            <w:left w:w="0" w:type="dxa"/>
            <w:bottom w:w="0" w:type="dxa"/>
            <w:right w:w="0" w:type="dxa"/>
          </w:tblCellMar>
        </w:tblPrEx>
        <w:trPr>
          <w:trHeight w:val="487"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417907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46</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95C2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030413001070</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17277">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 xml:space="preserve">横担抱箍    </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EFF26">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横担抱箍    HBG6-220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B866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D0A5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10</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A6B2E4A">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44F7E5">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5C53C6D5">
            <w:pPr>
              <w:spacing w:line="232" w:lineRule="auto"/>
              <w:jc w:val="right"/>
              <w:rPr>
                <w:rFonts w:ascii="宋体" w:hAnsi="宋体" w:eastAsia="宋体" w:cs="宋体"/>
                <w:color w:val="auto"/>
                <w:spacing w:val="-2"/>
                <w:sz w:val="21"/>
                <w:highlight w:val="none"/>
              </w:rPr>
            </w:pPr>
          </w:p>
        </w:tc>
      </w:tr>
      <w:tr w14:paraId="4E89A96A">
        <w:tblPrEx>
          <w:tblCellMar>
            <w:top w:w="0" w:type="dxa"/>
            <w:left w:w="0" w:type="dxa"/>
            <w:bottom w:w="0" w:type="dxa"/>
            <w:right w:w="0" w:type="dxa"/>
          </w:tblCellMar>
        </w:tblPrEx>
        <w:trPr>
          <w:trHeight w:val="487"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455C836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47</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3B94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030413001041</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72707">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 xml:space="preserve">横担抱箍    </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91F83">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横担抱箍    HBG6-240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ADA0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309B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20</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997EE7E">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25835A">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3AA9D249">
            <w:pPr>
              <w:spacing w:line="232" w:lineRule="auto"/>
              <w:jc w:val="right"/>
              <w:rPr>
                <w:rFonts w:ascii="宋体" w:hAnsi="宋体" w:eastAsia="宋体" w:cs="宋体"/>
                <w:color w:val="auto"/>
                <w:spacing w:val="-2"/>
                <w:sz w:val="21"/>
                <w:highlight w:val="none"/>
              </w:rPr>
            </w:pPr>
          </w:p>
        </w:tc>
      </w:tr>
      <w:tr w14:paraId="14536AAA">
        <w:tblPrEx>
          <w:tblCellMar>
            <w:top w:w="0" w:type="dxa"/>
            <w:left w:w="0" w:type="dxa"/>
            <w:bottom w:w="0" w:type="dxa"/>
            <w:right w:w="0" w:type="dxa"/>
          </w:tblCellMar>
        </w:tblPrEx>
        <w:trPr>
          <w:trHeight w:val="502"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57B59B3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48</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BA5A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030413001040</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41404">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 xml:space="preserve">横担抱箍   </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1C572">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横担抱箍    HBG6-260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BB24B">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FDD5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13</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96CC855">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100E7E">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4A6BB0CE">
            <w:pPr>
              <w:spacing w:line="232" w:lineRule="auto"/>
              <w:jc w:val="right"/>
              <w:rPr>
                <w:rFonts w:ascii="宋体" w:hAnsi="宋体" w:eastAsia="宋体" w:cs="宋体"/>
                <w:color w:val="auto"/>
                <w:spacing w:val="-2"/>
                <w:sz w:val="21"/>
                <w:highlight w:val="none"/>
              </w:rPr>
            </w:pPr>
          </w:p>
        </w:tc>
      </w:tr>
      <w:tr w14:paraId="2DE1C69B">
        <w:tblPrEx>
          <w:tblCellMar>
            <w:top w:w="0" w:type="dxa"/>
            <w:left w:w="0" w:type="dxa"/>
            <w:bottom w:w="0" w:type="dxa"/>
            <w:right w:w="0" w:type="dxa"/>
          </w:tblCellMar>
        </w:tblPrEx>
        <w:trPr>
          <w:trHeight w:val="587" w:hRule="exact"/>
        </w:trPr>
        <w:tc>
          <w:tcPr>
            <w:tcW w:w="8336" w:type="dxa"/>
            <w:gridSpan w:val="9"/>
            <w:tcBorders>
              <w:top w:val="single" w:color="000000" w:sz="4" w:space="0"/>
              <w:left w:val="single" w:color="000000" w:sz="10" w:space="0"/>
              <w:bottom w:val="single" w:color="auto" w:sz="4" w:space="0"/>
              <w:right w:val="single" w:color="000000" w:sz="4" w:space="0"/>
            </w:tcBorders>
            <w:shd w:val="clear" w:color="auto" w:fill="auto"/>
            <w:vAlign w:val="center"/>
          </w:tcPr>
          <w:p w14:paraId="21B4CE5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本页小计</w:t>
            </w:r>
          </w:p>
        </w:tc>
        <w:tc>
          <w:tcPr>
            <w:tcW w:w="1141" w:type="dxa"/>
            <w:gridSpan w:val="2"/>
            <w:tcBorders>
              <w:top w:val="single" w:color="000000" w:sz="4" w:space="0"/>
              <w:left w:val="single" w:color="000000" w:sz="4" w:space="0"/>
              <w:bottom w:val="single" w:color="auto" w:sz="4" w:space="0"/>
              <w:right w:val="single" w:color="000000" w:sz="4" w:space="0"/>
            </w:tcBorders>
            <w:shd w:val="clear" w:color="auto" w:fill="auto"/>
          </w:tcPr>
          <w:p w14:paraId="1597C381">
            <w:pPr>
              <w:spacing w:line="232" w:lineRule="auto"/>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auto" w:sz="4" w:space="0"/>
              <w:right w:val="single" w:color="000000" w:sz="10" w:space="0"/>
            </w:tcBorders>
            <w:shd w:val="clear" w:color="auto" w:fill="auto"/>
          </w:tcPr>
          <w:p w14:paraId="5ABBC9EB">
            <w:pPr>
              <w:spacing w:line="232" w:lineRule="auto"/>
              <w:rPr>
                <w:rFonts w:ascii="宋体" w:hAnsi="宋体" w:eastAsia="宋体" w:cs="宋体"/>
                <w:color w:val="auto"/>
                <w:spacing w:val="-2"/>
                <w:sz w:val="21"/>
                <w:highlight w:val="none"/>
              </w:rPr>
            </w:pPr>
          </w:p>
        </w:tc>
      </w:tr>
      <w:tr w14:paraId="24881B9E">
        <w:tblPrEx>
          <w:tblCellMar>
            <w:top w:w="0" w:type="dxa"/>
            <w:left w:w="0" w:type="dxa"/>
            <w:bottom w:w="0" w:type="dxa"/>
            <w:right w:w="0" w:type="dxa"/>
          </w:tblCellMar>
        </w:tblPrEx>
        <w:trPr>
          <w:trHeight w:val="547" w:hRule="exact"/>
        </w:trPr>
        <w:tc>
          <w:tcPr>
            <w:tcW w:w="10446" w:type="dxa"/>
            <w:gridSpan w:val="12"/>
            <w:tcBorders>
              <w:top w:val="single" w:color="auto" w:sz="4" w:space="0"/>
              <w:left w:val="single" w:color="auto" w:sz="4" w:space="0"/>
              <w:bottom w:val="single" w:color="auto" w:sz="4" w:space="0"/>
              <w:right w:val="single" w:color="auto" w:sz="4" w:space="0"/>
            </w:tcBorders>
            <w:shd w:val="clear" w:color="auto" w:fill="auto"/>
            <w:vAlign w:val="center"/>
          </w:tcPr>
          <w:p w14:paraId="224A0FE5">
            <w:pPr>
              <w:spacing w:line="232" w:lineRule="auto"/>
              <w:jc w:val="center"/>
              <w:rPr>
                <w:rFonts w:hint="eastAsia" w:ascii="宋体" w:hAnsi="宋体" w:eastAsia="宋体" w:cs="宋体"/>
                <w:b/>
                <w:color w:val="auto"/>
                <w:spacing w:val="-2"/>
                <w:sz w:val="32"/>
                <w:highlight w:val="none"/>
                <w:lang w:eastAsia="zh-CN"/>
              </w:rPr>
            </w:pPr>
            <w:r>
              <w:rPr>
                <w:rFonts w:hint="eastAsia" w:ascii="宋体" w:hAnsi="宋体" w:eastAsia="宋体" w:cs="宋体"/>
                <w:b/>
                <w:color w:val="auto"/>
                <w:spacing w:val="-2"/>
                <w:sz w:val="32"/>
                <w:highlight w:val="none"/>
                <w:lang w:eastAsia="zh-CN"/>
              </w:rPr>
              <w:t>全费用工程量清单与计价表</w:t>
            </w:r>
          </w:p>
        </w:tc>
      </w:tr>
      <w:tr w14:paraId="09635F4B">
        <w:tblPrEx>
          <w:tblCellMar>
            <w:top w:w="0" w:type="dxa"/>
            <w:left w:w="0" w:type="dxa"/>
            <w:bottom w:w="0" w:type="dxa"/>
            <w:right w:w="0" w:type="dxa"/>
          </w:tblCellMar>
        </w:tblPrEx>
        <w:trPr>
          <w:trHeight w:val="344" w:hRule="exact"/>
        </w:trPr>
        <w:tc>
          <w:tcPr>
            <w:tcW w:w="5508"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42E62344">
            <w:pPr>
              <w:spacing w:line="232" w:lineRule="auto"/>
              <w:rPr>
                <w:rFonts w:ascii="黑体" w:hAnsi="黑体" w:eastAsia="黑体" w:cs="黑体"/>
                <w:color w:val="auto"/>
                <w:spacing w:val="-2"/>
                <w:sz w:val="21"/>
                <w:highlight w:val="none"/>
              </w:rPr>
            </w:pPr>
            <w:r>
              <w:rPr>
                <w:rFonts w:ascii="黑体" w:hAnsi="黑体" w:eastAsia="黑体" w:cs="黑体"/>
                <w:color w:val="auto"/>
                <w:spacing w:val="-2"/>
                <w:sz w:val="21"/>
                <w:highlight w:val="none"/>
              </w:rPr>
              <w:t>工程名称：安装</w:t>
            </w:r>
          </w:p>
        </w:tc>
        <w:tc>
          <w:tcPr>
            <w:tcW w:w="284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62E0622">
            <w:pPr>
              <w:spacing w:line="232" w:lineRule="auto"/>
              <w:rPr>
                <w:rFonts w:ascii="黑体" w:hAnsi="黑体" w:eastAsia="黑体" w:cs="黑体"/>
                <w:color w:val="auto"/>
                <w:spacing w:val="-2"/>
                <w:sz w:val="21"/>
                <w:highlight w:val="none"/>
              </w:rPr>
            </w:pPr>
            <w:r>
              <w:rPr>
                <w:rFonts w:ascii="黑体" w:hAnsi="黑体" w:eastAsia="黑体" w:cs="黑体"/>
                <w:color w:val="auto"/>
                <w:spacing w:val="-2"/>
                <w:sz w:val="21"/>
                <w:highlight w:val="none"/>
              </w:rPr>
              <w:t>标段：</w:t>
            </w:r>
          </w:p>
        </w:tc>
        <w:tc>
          <w:tcPr>
            <w:tcW w:w="209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837AA79">
            <w:pPr>
              <w:spacing w:line="232" w:lineRule="auto"/>
              <w:jc w:val="right"/>
              <w:rPr>
                <w:rFonts w:ascii="黑体" w:hAnsi="黑体" w:eastAsia="黑体" w:cs="黑体"/>
                <w:color w:val="auto"/>
                <w:spacing w:val="-2"/>
                <w:sz w:val="21"/>
                <w:highlight w:val="none"/>
              </w:rPr>
            </w:pPr>
            <w:r>
              <w:rPr>
                <w:rFonts w:ascii="黑体" w:hAnsi="黑体" w:eastAsia="黑体" w:cs="黑体"/>
                <w:color w:val="auto"/>
                <w:spacing w:val="-2"/>
                <w:sz w:val="21"/>
                <w:highlight w:val="none"/>
              </w:rPr>
              <w:t>第4页 共5页</w:t>
            </w:r>
          </w:p>
        </w:tc>
      </w:tr>
      <w:tr w14:paraId="09FA5FE3">
        <w:tblPrEx>
          <w:tblCellMar>
            <w:top w:w="0" w:type="dxa"/>
            <w:left w:w="0" w:type="dxa"/>
            <w:bottom w:w="0" w:type="dxa"/>
            <w:right w:w="0" w:type="dxa"/>
          </w:tblCellMar>
        </w:tblPrEx>
        <w:trPr>
          <w:trHeight w:val="301" w:hRule="exact"/>
        </w:trPr>
        <w:tc>
          <w:tcPr>
            <w:tcW w:w="544" w:type="dxa"/>
            <w:vMerge w:val="restart"/>
            <w:tcBorders>
              <w:top w:val="single" w:color="auto" w:sz="4" w:space="0"/>
              <w:left w:val="single" w:color="000000" w:sz="10" w:space="0"/>
              <w:bottom w:val="single" w:color="auto" w:sz="4" w:space="0"/>
              <w:right w:val="single" w:color="000000" w:sz="4" w:space="0"/>
            </w:tcBorders>
            <w:shd w:val="clear" w:color="auto" w:fill="FFFFFF"/>
            <w:vAlign w:val="center"/>
          </w:tcPr>
          <w:p w14:paraId="14269822">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序号</w:t>
            </w:r>
          </w:p>
        </w:tc>
        <w:tc>
          <w:tcPr>
            <w:tcW w:w="888"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663363E7">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项目编码</w:t>
            </w:r>
          </w:p>
        </w:tc>
        <w:tc>
          <w:tcPr>
            <w:tcW w:w="1182"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62DC9810">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项目名称</w:t>
            </w:r>
          </w:p>
        </w:tc>
        <w:tc>
          <w:tcPr>
            <w:tcW w:w="2894"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77019BE8">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项目特征描述</w:t>
            </w:r>
          </w:p>
        </w:tc>
        <w:tc>
          <w:tcPr>
            <w:tcW w:w="823"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09039616">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计量</w:t>
            </w:r>
          </w:p>
          <w:p w14:paraId="6173D4BE">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单位</w:t>
            </w:r>
          </w:p>
        </w:tc>
        <w:tc>
          <w:tcPr>
            <w:tcW w:w="837"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462B1C67">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工程量</w:t>
            </w:r>
          </w:p>
        </w:tc>
        <w:tc>
          <w:tcPr>
            <w:tcW w:w="3278" w:type="dxa"/>
            <w:gridSpan w:val="6"/>
            <w:tcBorders>
              <w:top w:val="single" w:color="auto" w:sz="4" w:space="0"/>
              <w:left w:val="single" w:color="000000" w:sz="4" w:space="0"/>
              <w:bottom w:val="single" w:color="auto" w:sz="4" w:space="0"/>
              <w:right w:val="single" w:color="000000" w:sz="10" w:space="0"/>
            </w:tcBorders>
            <w:shd w:val="clear" w:color="auto" w:fill="FFFFFF"/>
            <w:vAlign w:val="center"/>
          </w:tcPr>
          <w:p w14:paraId="014F0E70">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金额（元）</w:t>
            </w:r>
          </w:p>
        </w:tc>
      </w:tr>
      <w:tr w14:paraId="4B9CD757">
        <w:tblPrEx>
          <w:tblCellMar>
            <w:top w:w="0" w:type="dxa"/>
            <w:left w:w="0" w:type="dxa"/>
            <w:bottom w:w="0" w:type="dxa"/>
            <w:right w:w="0" w:type="dxa"/>
          </w:tblCellMar>
        </w:tblPrEx>
        <w:trPr>
          <w:trHeight w:val="301" w:hRule="exact"/>
        </w:trPr>
        <w:tc>
          <w:tcPr>
            <w:tcW w:w="544" w:type="dxa"/>
            <w:vMerge w:val="continue"/>
            <w:tcBorders>
              <w:top w:val="single" w:color="auto" w:sz="4" w:space="0"/>
              <w:left w:val="single" w:color="000000" w:sz="10" w:space="0"/>
              <w:bottom w:val="single" w:color="auto" w:sz="4" w:space="0"/>
              <w:right w:val="single" w:color="000000" w:sz="4" w:space="0"/>
            </w:tcBorders>
            <w:shd w:val="clear" w:color="auto" w:fill="FFFFFF"/>
            <w:vAlign w:val="center"/>
          </w:tcPr>
          <w:p w14:paraId="1522D2F7">
            <w:pPr>
              <w:rPr>
                <w:color w:val="auto"/>
                <w:highlight w:val="none"/>
              </w:rPr>
            </w:pPr>
          </w:p>
        </w:tc>
        <w:tc>
          <w:tcPr>
            <w:tcW w:w="888"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4FD4F265">
            <w:pPr>
              <w:rPr>
                <w:color w:val="auto"/>
                <w:highlight w:val="none"/>
              </w:rPr>
            </w:pPr>
          </w:p>
        </w:tc>
        <w:tc>
          <w:tcPr>
            <w:tcW w:w="1182"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31F2BBD4">
            <w:pPr>
              <w:rPr>
                <w:color w:val="auto"/>
                <w:highlight w:val="none"/>
              </w:rPr>
            </w:pPr>
          </w:p>
        </w:tc>
        <w:tc>
          <w:tcPr>
            <w:tcW w:w="2894"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45DB9798">
            <w:pPr>
              <w:rPr>
                <w:color w:val="auto"/>
                <w:highlight w:val="none"/>
              </w:rPr>
            </w:pPr>
          </w:p>
        </w:tc>
        <w:tc>
          <w:tcPr>
            <w:tcW w:w="823"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1293A80B">
            <w:pPr>
              <w:rPr>
                <w:color w:val="auto"/>
                <w:highlight w:val="none"/>
              </w:rPr>
            </w:pPr>
          </w:p>
        </w:tc>
        <w:tc>
          <w:tcPr>
            <w:tcW w:w="837"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576F35CA">
            <w:pPr>
              <w:rPr>
                <w:color w:val="auto"/>
                <w:highlight w:val="none"/>
              </w:rPr>
            </w:pPr>
          </w:p>
        </w:tc>
        <w:tc>
          <w:tcPr>
            <w:tcW w:w="1168" w:type="dxa"/>
            <w:gridSpan w:val="3"/>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0894CFA1">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综合单价</w:t>
            </w:r>
          </w:p>
        </w:tc>
        <w:tc>
          <w:tcPr>
            <w:tcW w:w="1141" w:type="dxa"/>
            <w:gridSpan w:val="2"/>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4C287A6F">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合价</w:t>
            </w:r>
          </w:p>
        </w:tc>
        <w:tc>
          <w:tcPr>
            <w:tcW w:w="969" w:type="dxa"/>
            <w:tcBorders>
              <w:top w:val="single" w:color="auto" w:sz="4" w:space="0"/>
              <w:left w:val="single" w:color="000000" w:sz="4" w:space="0"/>
              <w:bottom w:val="single" w:color="auto" w:sz="4" w:space="0"/>
              <w:right w:val="single" w:color="000000" w:sz="10" w:space="0"/>
            </w:tcBorders>
            <w:shd w:val="clear" w:color="auto" w:fill="FFFFFF"/>
            <w:vAlign w:val="center"/>
          </w:tcPr>
          <w:p w14:paraId="4CEDD3EE">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其中</w:t>
            </w:r>
          </w:p>
        </w:tc>
      </w:tr>
      <w:tr w14:paraId="48BC13C3">
        <w:tblPrEx>
          <w:tblCellMar>
            <w:top w:w="0" w:type="dxa"/>
            <w:left w:w="0" w:type="dxa"/>
            <w:bottom w:w="0" w:type="dxa"/>
            <w:right w:w="0" w:type="dxa"/>
          </w:tblCellMar>
        </w:tblPrEx>
        <w:trPr>
          <w:trHeight w:val="286" w:hRule="exact"/>
        </w:trPr>
        <w:tc>
          <w:tcPr>
            <w:tcW w:w="544" w:type="dxa"/>
            <w:vMerge w:val="continue"/>
            <w:tcBorders>
              <w:top w:val="single" w:color="auto" w:sz="4" w:space="0"/>
              <w:left w:val="single" w:color="000000" w:sz="10" w:space="0"/>
              <w:bottom w:val="single" w:color="000000" w:sz="4" w:space="0"/>
              <w:right w:val="single" w:color="000000" w:sz="4" w:space="0"/>
            </w:tcBorders>
            <w:shd w:val="clear" w:color="auto" w:fill="FFFFFF"/>
            <w:vAlign w:val="center"/>
          </w:tcPr>
          <w:p w14:paraId="53964982">
            <w:pPr>
              <w:rPr>
                <w:color w:val="auto"/>
                <w:highlight w:val="none"/>
              </w:rPr>
            </w:pPr>
          </w:p>
        </w:tc>
        <w:tc>
          <w:tcPr>
            <w:tcW w:w="888"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0F8A1780">
            <w:pPr>
              <w:rPr>
                <w:color w:val="auto"/>
                <w:highlight w:val="none"/>
              </w:rPr>
            </w:pPr>
          </w:p>
        </w:tc>
        <w:tc>
          <w:tcPr>
            <w:tcW w:w="1182"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6AC38FD0">
            <w:pPr>
              <w:rPr>
                <w:color w:val="auto"/>
                <w:highlight w:val="none"/>
              </w:rPr>
            </w:pPr>
          </w:p>
        </w:tc>
        <w:tc>
          <w:tcPr>
            <w:tcW w:w="2894"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32F51D68">
            <w:pPr>
              <w:rPr>
                <w:color w:val="auto"/>
                <w:highlight w:val="none"/>
              </w:rPr>
            </w:pPr>
          </w:p>
        </w:tc>
        <w:tc>
          <w:tcPr>
            <w:tcW w:w="823"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30652948">
            <w:pPr>
              <w:rPr>
                <w:color w:val="auto"/>
                <w:highlight w:val="none"/>
              </w:rPr>
            </w:pPr>
          </w:p>
        </w:tc>
        <w:tc>
          <w:tcPr>
            <w:tcW w:w="837"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69E9D780">
            <w:pPr>
              <w:rPr>
                <w:color w:val="auto"/>
                <w:highlight w:val="none"/>
              </w:rPr>
            </w:pPr>
          </w:p>
        </w:tc>
        <w:tc>
          <w:tcPr>
            <w:tcW w:w="1168" w:type="dxa"/>
            <w:gridSpan w:val="3"/>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579C4116">
            <w:pPr>
              <w:rPr>
                <w:color w:val="auto"/>
                <w:highlight w:val="none"/>
              </w:rPr>
            </w:pPr>
          </w:p>
        </w:tc>
        <w:tc>
          <w:tcPr>
            <w:tcW w:w="1141" w:type="dxa"/>
            <w:gridSpan w:val="2"/>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1A80FA42">
            <w:pPr>
              <w:rPr>
                <w:color w:val="auto"/>
                <w:highlight w:val="none"/>
              </w:rPr>
            </w:pPr>
          </w:p>
        </w:tc>
        <w:tc>
          <w:tcPr>
            <w:tcW w:w="969" w:type="dxa"/>
            <w:tcBorders>
              <w:top w:val="single" w:color="auto" w:sz="4" w:space="0"/>
              <w:left w:val="single" w:color="000000" w:sz="4" w:space="0"/>
              <w:bottom w:val="single" w:color="000000" w:sz="4" w:space="0"/>
              <w:right w:val="single" w:color="000000" w:sz="10" w:space="0"/>
            </w:tcBorders>
            <w:shd w:val="clear" w:color="auto" w:fill="FFFFFF"/>
            <w:vAlign w:val="center"/>
          </w:tcPr>
          <w:p w14:paraId="11EA52BD">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暂估价</w:t>
            </w:r>
          </w:p>
        </w:tc>
      </w:tr>
      <w:tr w14:paraId="00700973">
        <w:tblPrEx>
          <w:tblCellMar>
            <w:top w:w="0" w:type="dxa"/>
            <w:left w:w="0" w:type="dxa"/>
            <w:bottom w:w="0" w:type="dxa"/>
            <w:right w:w="0" w:type="dxa"/>
          </w:tblCellMar>
        </w:tblPrEx>
        <w:trPr>
          <w:trHeight w:val="502"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FF6A90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49</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F958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030413001071</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82A7E">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 xml:space="preserve">横担抱箍   </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05962">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横担抱箍    HBG6-280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BB8BB">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9FAC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10</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6135F9E">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53F6E8">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2786D2EE">
            <w:pPr>
              <w:spacing w:line="232" w:lineRule="auto"/>
              <w:jc w:val="right"/>
              <w:rPr>
                <w:rFonts w:ascii="宋体" w:hAnsi="宋体" w:eastAsia="宋体" w:cs="宋体"/>
                <w:color w:val="auto"/>
                <w:spacing w:val="-2"/>
                <w:sz w:val="21"/>
                <w:highlight w:val="none"/>
              </w:rPr>
            </w:pPr>
          </w:p>
        </w:tc>
      </w:tr>
      <w:tr w14:paraId="371095D7">
        <w:tblPrEx>
          <w:tblCellMar>
            <w:top w:w="0" w:type="dxa"/>
            <w:left w:w="0" w:type="dxa"/>
            <w:bottom w:w="0" w:type="dxa"/>
            <w:right w:w="0" w:type="dxa"/>
          </w:tblCellMar>
        </w:tblPrEx>
        <w:trPr>
          <w:trHeight w:val="487"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27EBBFA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50</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89E2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030413001072</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3E9C0">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 xml:space="preserve">横担抱箍   </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5AD9D">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横担抱箍    HBG6-300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20A9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9C09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A4E7BF7">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FFF1A2">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52875C0E">
            <w:pPr>
              <w:spacing w:line="232" w:lineRule="auto"/>
              <w:jc w:val="right"/>
              <w:rPr>
                <w:rFonts w:ascii="宋体" w:hAnsi="宋体" w:eastAsia="宋体" w:cs="宋体"/>
                <w:color w:val="auto"/>
                <w:spacing w:val="-2"/>
                <w:sz w:val="21"/>
                <w:highlight w:val="none"/>
              </w:rPr>
            </w:pPr>
          </w:p>
        </w:tc>
      </w:tr>
      <w:tr w14:paraId="1F6E22ED">
        <w:tblPrEx>
          <w:tblCellMar>
            <w:top w:w="0" w:type="dxa"/>
            <w:left w:w="0" w:type="dxa"/>
            <w:bottom w:w="0" w:type="dxa"/>
            <w:right w:w="0" w:type="dxa"/>
          </w:tblCellMar>
        </w:tblPrEx>
        <w:trPr>
          <w:trHeight w:val="487"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83670D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51</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2861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030413001037</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7FB71">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 xml:space="preserve">横担抱箍    </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D0E5D">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横担抱箍    HBG6-420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2A64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7B86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10</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718BFFB">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7BF72A">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15943204">
            <w:pPr>
              <w:spacing w:line="232" w:lineRule="auto"/>
              <w:jc w:val="right"/>
              <w:rPr>
                <w:rFonts w:ascii="宋体" w:hAnsi="宋体" w:eastAsia="宋体" w:cs="宋体"/>
                <w:color w:val="auto"/>
                <w:spacing w:val="-2"/>
                <w:sz w:val="21"/>
                <w:highlight w:val="none"/>
              </w:rPr>
            </w:pPr>
          </w:p>
        </w:tc>
      </w:tr>
      <w:tr w14:paraId="165449FA">
        <w:tblPrEx>
          <w:tblCellMar>
            <w:top w:w="0" w:type="dxa"/>
            <w:left w:w="0" w:type="dxa"/>
            <w:bottom w:w="0" w:type="dxa"/>
            <w:right w:w="0" w:type="dxa"/>
          </w:tblCellMar>
        </w:tblPrEx>
        <w:trPr>
          <w:trHeight w:val="757"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1A46DCA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52</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793E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030413001066</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62BAF">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电缆卡抱   KBG4-110</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02072">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电缆卡抱   KBG4-110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F8DEB">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C8DB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64</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C7A1971">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9D86EA">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5E0201A3">
            <w:pPr>
              <w:spacing w:line="232" w:lineRule="auto"/>
              <w:jc w:val="right"/>
              <w:rPr>
                <w:rFonts w:ascii="宋体" w:hAnsi="宋体" w:eastAsia="宋体" w:cs="宋体"/>
                <w:color w:val="auto"/>
                <w:spacing w:val="-2"/>
                <w:sz w:val="21"/>
                <w:highlight w:val="none"/>
              </w:rPr>
            </w:pPr>
          </w:p>
        </w:tc>
      </w:tr>
      <w:tr w14:paraId="17AAADA2">
        <w:tblPrEx>
          <w:tblCellMar>
            <w:top w:w="0" w:type="dxa"/>
            <w:left w:w="0" w:type="dxa"/>
            <w:bottom w:w="0" w:type="dxa"/>
            <w:right w:w="0" w:type="dxa"/>
          </w:tblCellMar>
        </w:tblPrEx>
        <w:trPr>
          <w:trHeight w:val="1239"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16F3491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53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5D16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030413001067</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A7921">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杆上电缆固定支架（二）  DLJ5-165A</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C3466">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杆上电缆固定支架（二）  DLJ5-165A</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C81B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只</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DF6A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8</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F427122">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A01B10">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76A78B7A">
            <w:pPr>
              <w:spacing w:line="232" w:lineRule="auto"/>
              <w:jc w:val="right"/>
              <w:rPr>
                <w:rFonts w:ascii="宋体" w:hAnsi="宋体" w:eastAsia="宋体" w:cs="宋体"/>
                <w:color w:val="auto"/>
                <w:spacing w:val="-2"/>
                <w:sz w:val="21"/>
                <w:highlight w:val="none"/>
              </w:rPr>
            </w:pPr>
          </w:p>
        </w:tc>
      </w:tr>
      <w:tr w14:paraId="166247D1">
        <w:tblPrEx>
          <w:tblCellMar>
            <w:top w:w="0" w:type="dxa"/>
            <w:left w:w="0" w:type="dxa"/>
            <w:bottom w:w="0" w:type="dxa"/>
            <w:right w:w="0" w:type="dxa"/>
          </w:tblCellMar>
        </w:tblPrEx>
        <w:trPr>
          <w:trHeight w:val="598"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2181FC9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54</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73CB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030408008001</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E9350">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防火堵洞</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3AD86">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3EEB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处</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0B33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F49616D">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A5A989">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3614CEF7">
            <w:pPr>
              <w:spacing w:line="232" w:lineRule="auto"/>
              <w:jc w:val="right"/>
              <w:rPr>
                <w:rFonts w:ascii="宋体" w:hAnsi="宋体" w:eastAsia="宋体" w:cs="宋体"/>
                <w:color w:val="auto"/>
                <w:spacing w:val="-2"/>
                <w:sz w:val="21"/>
                <w:highlight w:val="none"/>
              </w:rPr>
            </w:pPr>
          </w:p>
        </w:tc>
      </w:tr>
      <w:tr w14:paraId="15E873B8">
        <w:tblPrEx>
          <w:tblCellMar>
            <w:top w:w="0" w:type="dxa"/>
            <w:left w:w="0" w:type="dxa"/>
            <w:bottom w:w="0" w:type="dxa"/>
            <w:right w:w="0" w:type="dxa"/>
          </w:tblCellMar>
        </w:tblPrEx>
        <w:trPr>
          <w:trHeight w:val="731"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6B7BC2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55</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0D0D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030408003001</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082ED">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电缆保护管</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0214B">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名称：镀锌钢管</w:t>
            </w:r>
          </w:p>
          <w:p w14:paraId="6909E009">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2.</w:t>
            </w:r>
            <w:r>
              <w:rPr>
                <w:rFonts w:ascii="宋体" w:hAnsi="宋体" w:eastAsia="宋体" w:cs="宋体"/>
                <w:color w:val="auto"/>
                <w:spacing w:val="-2"/>
                <w:sz w:val="21"/>
                <w:highlight w:val="none"/>
              </w:rPr>
              <w:t>规格：φ200</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壁厚</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5mm</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AD93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m</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F1D5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24</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E2E622">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9AE79B">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454968BA">
            <w:pPr>
              <w:spacing w:line="232" w:lineRule="auto"/>
              <w:jc w:val="right"/>
              <w:rPr>
                <w:rFonts w:ascii="宋体" w:hAnsi="宋体" w:eastAsia="宋体" w:cs="宋体"/>
                <w:color w:val="auto"/>
                <w:spacing w:val="-2"/>
                <w:sz w:val="21"/>
                <w:highlight w:val="none"/>
              </w:rPr>
            </w:pPr>
          </w:p>
        </w:tc>
      </w:tr>
      <w:tr w14:paraId="334F50CF">
        <w:tblPrEx>
          <w:tblCellMar>
            <w:top w:w="0" w:type="dxa"/>
            <w:left w:w="0" w:type="dxa"/>
            <w:bottom w:w="0" w:type="dxa"/>
            <w:right w:w="0" w:type="dxa"/>
          </w:tblCellMar>
        </w:tblPrEx>
        <w:trPr>
          <w:trHeight w:val="667"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5A2DCA8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56</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99E0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080601011001</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60A65">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标志牌、标桩</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7BEAA">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名称：电缆标志桩</w:t>
            </w:r>
          </w:p>
          <w:p w14:paraId="749DB2E3">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2、类别：100*100*600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CA87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根</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3492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3259899">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3FFE47">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72F48A37">
            <w:pPr>
              <w:spacing w:line="232" w:lineRule="auto"/>
              <w:jc w:val="right"/>
              <w:rPr>
                <w:rFonts w:ascii="宋体" w:hAnsi="宋体" w:eastAsia="宋体" w:cs="宋体"/>
                <w:color w:val="auto"/>
                <w:spacing w:val="-2"/>
                <w:sz w:val="21"/>
                <w:highlight w:val="none"/>
              </w:rPr>
            </w:pPr>
          </w:p>
        </w:tc>
      </w:tr>
      <w:tr w14:paraId="63D2B5BD">
        <w:tblPrEx>
          <w:tblCellMar>
            <w:top w:w="0" w:type="dxa"/>
            <w:left w:w="0" w:type="dxa"/>
            <w:bottom w:w="0" w:type="dxa"/>
            <w:right w:w="0" w:type="dxa"/>
          </w:tblCellMar>
        </w:tblPrEx>
        <w:trPr>
          <w:trHeight w:val="960"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2AE8BDD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57</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567F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030410003005</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02C92">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导线架设</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0F635">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名称：10kV架空绝缘导线</w:t>
            </w:r>
          </w:p>
          <w:p w14:paraId="455B9B52">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2.</w:t>
            </w:r>
            <w:r>
              <w:rPr>
                <w:rFonts w:ascii="宋体" w:hAnsi="宋体" w:eastAsia="宋体" w:cs="宋体"/>
                <w:color w:val="auto"/>
                <w:spacing w:val="-2"/>
                <w:sz w:val="21"/>
                <w:highlight w:val="none"/>
              </w:rPr>
              <w:t>规格：JKLYJ-10kV-1*50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13C3B">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km</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C287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0.15</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4477163">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DBDC3A">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2C2CCDF4">
            <w:pPr>
              <w:spacing w:line="232" w:lineRule="auto"/>
              <w:jc w:val="right"/>
              <w:rPr>
                <w:rFonts w:ascii="宋体" w:hAnsi="宋体" w:eastAsia="宋体" w:cs="宋体"/>
                <w:color w:val="auto"/>
                <w:spacing w:val="-2"/>
                <w:sz w:val="21"/>
                <w:highlight w:val="none"/>
              </w:rPr>
            </w:pPr>
          </w:p>
        </w:tc>
      </w:tr>
      <w:tr w14:paraId="5963D113">
        <w:tblPrEx>
          <w:tblCellMar>
            <w:top w:w="0" w:type="dxa"/>
            <w:left w:w="0" w:type="dxa"/>
            <w:bottom w:w="0" w:type="dxa"/>
            <w:right w:w="0" w:type="dxa"/>
          </w:tblCellMar>
        </w:tblPrEx>
        <w:trPr>
          <w:trHeight w:val="946"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4DD163B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58</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6D08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030410003006</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546BF">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导线架设</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0F3EA">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名称：10kV架空绝缘导线</w:t>
            </w:r>
          </w:p>
          <w:p w14:paraId="3B46C2F9">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2.</w:t>
            </w:r>
            <w:r>
              <w:rPr>
                <w:rFonts w:ascii="宋体" w:hAnsi="宋体" w:eastAsia="宋体" w:cs="宋体"/>
                <w:color w:val="auto"/>
                <w:spacing w:val="-2"/>
                <w:sz w:val="21"/>
                <w:highlight w:val="none"/>
              </w:rPr>
              <w:t>规格：JKLYJ-10kV-1*240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64AB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km</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997B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6.336</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B5675D">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60D3BD">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68F56D76">
            <w:pPr>
              <w:spacing w:line="232" w:lineRule="auto"/>
              <w:jc w:val="right"/>
              <w:rPr>
                <w:rFonts w:ascii="宋体" w:hAnsi="宋体" w:eastAsia="宋体" w:cs="宋体"/>
                <w:color w:val="auto"/>
                <w:spacing w:val="-2"/>
                <w:sz w:val="21"/>
                <w:highlight w:val="none"/>
              </w:rPr>
            </w:pPr>
          </w:p>
        </w:tc>
      </w:tr>
      <w:tr w14:paraId="54B06758">
        <w:tblPrEx>
          <w:tblCellMar>
            <w:top w:w="0" w:type="dxa"/>
            <w:left w:w="0" w:type="dxa"/>
            <w:bottom w:w="0" w:type="dxa"/>
            <w:right w:w="0" w:type="dxa"/>
          </w:tblCellMar>
        </w:tblPrEx>
        <w:trPr>
          <w:trHeight w:val="960"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251A0AC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59</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C258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030410003007</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8B85A">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导线架设</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FEFC3">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名称：1kV架空绝缘导线</w:t>
            </w:r>
          </w:p>
          <w:p w14:paraId="3ED43C5D">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2.</w:t>
            </w:r>
            <w:r>
              <w:rPr>
                <w:rFonts w:ascii="宋体" w:hAnsi="宋体" w:eastAsia="宋体" w:cs="宋体"/>
                <w:color w:val="auto"/>
                <w:spacing w:val="-2"/>
                <w:sz w:val="21"/>
                <w:highlight w:val="none"/>
              </w:rPr>
              <w:t>规格：JKLYJ-1kV-1*120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4A06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km</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43B4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0.836</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03C76E4">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E1B1ED">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74F8FDD3">
            <w:pPr>
              <w:spacing w:line="232" w:lineRule="auto"/>
              <w:jc w:val="right"/>
              <w:rPr>
                <w:rFonts w:ascii="宋体" w:hAnsi="宋体" w:eastAsia="宋体" w:cs="宋体"/>
                <w:color w:val="auto"/>
                <w:spacing w:val="-2"/>
                <w:sz w:val="21"/>
                <w:highlight w:val="none"/>
              </w:rPr>
            </w:pPr>
          </w:p>
        </w:tc>
      </w:tr>
      <w:tr w14:paraId="38DEDDE1">
        <w:tblPrEx>
          <w:tblCellMar>
            <w:top w:w="0" w:type="dxa"/>
            <w:left w:w="0" w:type="dxa"/>
            <w:bottom w:w="0" w:type="dxa"/>
            <w:right w:w="0" w:type="dxa"/>
          </w:tblCellMar>
        </w:tblPrEx>
        <w:trPr>
          <w:trHeight w:val="1190"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6BED38F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60</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6ED1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030413001009</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361A5">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异型并沟线</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03A64">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接续金具-异型并沟线夹接续金具-异型并沟线夹-型号</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JBL-50/240</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是否配绝缘罩</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是</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33E4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付</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FADF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72</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4682882">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F97BBD">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28646FA8">
            <w:pPr>
              <w:spacing w:line="232" w:lineRule="auto"/>
              <w:jc w:val="right"/>
              <w:rPr>
                <w:rFonts w:ascii="宋体" w:hAnsi="宋体" w:eastAsia="宋体" w:cs="宋体"/>
                <w:color w:val="auto"/>
                <w:spacing w:val="-2"/>
                <w:sz w:val="21"/>
                <w:highlight w:val="none"/>
              </w:rPr>
            </w:pPr>
          </w:p>
        </w:tc>
      </w:tr>
      <w:tr w14:paraId="4E4EADC5">
        <w:tblPrEx>
          <w:tblCellMar>
            <w:top w:w="0" w:type="dxa"/>
            <w:left w:w="0" w:type="dxa"/>
            <w:bottom w:w="0" w:type="dxa"/>
            <w:right w:w="0" w:type="dxa"/>
          </w:tblCellMar>
        </w:tblPrEx>
        <w:trPr>
          <w:trHeight w:val="845"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4D5784F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61</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8A20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030410001010</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24D5C">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拉线</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1B543">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拉线材质、规格、类型：GJ,80</w:t>
            </w:r>
          </w:p>
          <w:p w14:paraId="4CF395E6">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2.</w:t>
            </w:r>
            <w:r>
              <w:rPr>
                <w:rFonts w:ascii="宋体" w:hAnsi="宋体" w:eastAsia="宋体" w:cs="宋体"/>
                <w:color w:val="auto"/>
                <w:spacing w:val="-2"/>
                <w:sz w:val="21"/>
                <w:highlight w:val="none"/>
              </w:rPr>
              <w:t>拉盘规格：LP 500*1000*200</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A2DF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套</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7C60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E4664A2">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BDD310">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1D1B4537">
            <w:pPr>
              <w:spacing w:line="232" w:lineRule="auto"/>
              <w:jc w:val="right"/>
              <w:rPr>
                <w:rFonts w:ascii="宋体" w:hAnsi="宋体" w:eastAsia="宋体" w:cs="宋体"/>
                <w:color w:val="auto"/>
                <w:spacing w:val="-2"/>
                <w:sz w:val="21"/>
                <w:highlight w:val="none"/>
              </w:rPr>
            </w:pPr>
          </w:p>
        </w:tc>
      </w:tr>
      <w:tr w14:paraId="5445F428">
        <w:tblPrEx>
          <w:tblCellMar>
            <w:top w:w="0" w:type="dxa"/>
            <w:left w:w="0" w:type="dxa"/>
            <w:bottom w:w="0" w:type="dxa"/>
            <w:right w:w="0" w:type="dxa"/>
          </w:tblCellMar>
        </w:tblPrEx>
        <w:trPr>
          <w:trHeight w:val="661"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638A9B8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62</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ED51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030410004003</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C6806">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杆上设备移位</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7A102">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移位河东配变400kVA1台</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549BB">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组</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144C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B396765">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FAC661">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7CFC0A7B">
            <w:pPr>
              <w:spacing w:line="232" w:lineRule="auto"/>
              <w:jc w:val="right"/>
              <w:rPr>
                <w:rFonts w:ascii="宋体" w:hAnsi="宋体" w:eastAsia="宋体" w:cs="宋体"/>
                <w:color w:val="auto"/>
                <w:spacing w:val="-2"/>
                <w:sz w:val="21"/>
                <w:highlight w:val="none"/>
              </w:rPr>
            </w:pPr>
          </w:p>
        </w:tc>
      </w:tr>
      <w:tr w14:paraId="4513E254">
        <w:tblPrEx>
          <w:tblCellMar>
            <w:top w:w="0" w:type="dxa"/>
            <w:left w:w="0" w:type="dxa"/>
            <w:bottom w:w="0" w:type="dxa"/>
            <w:right w:w="0" w:type="dxa"/>
          </w:tblCellMar>
        </w:tblPrEx>
        <w:trPr>
          <w:trHeight w:val="677"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1441292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3512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030414002001</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344BE">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送配电装置系统</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8FD96">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10kV以下交流供电 断路器</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BD54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系统</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6149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5</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CD2DE9D">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F8404C">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31F70418">
            <w:pPr>
              <w:spacing w:line="232" w:lineRule="auto"/>
              <w:jc w:val="right"/>
              <w:rPr>
                <w:rFonts w:ascii="宋体" w:hAnsi="宋体" w:eastAsia="宋体" w:cs="宋体"/>
                <w:color w:val="auto"/>
                <w:spacing w:val="-2"/>
                <w:sz w:val="21"/>
                <w:highlight w:val="none"/>
              </w:rPr>
            </w:pPr>
          </w:p>
        </w:tc>
      </w:tr>
      <w:tr w14:paraId="3CE0EA92">
        <w:tblPrEx>
          <w:tblCellMar>
            <w:top w:w="0" w:type="dxa"/>
            <w:left w:w="0" w:type="dxa"/>
            <w:bottom w:w="0" w:type="dxa"/>
            <w:right w:w="0" w:type="dxa"/>
          </w:tblCellMar>
        </w:tblPrEx>
        <w:trPr>
          <w:trHeight w:val="502"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33652E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64</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2942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030414009001</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3FECF">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避雷器</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EE3EE">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避雷器调试 10kV以下</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1821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组</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5CF2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21</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73452A4">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A70E40">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4A0A4865">
            <w:pPr>
              <w:spacing w:line="232" w:lineRule="auto"/>
              <w:jc w:val="right"/>
              <w:rPr>
                <w:rFonts w:ascii="宋体" w:hAnsi="宋体" w:eastAsia="宋体" w:cs="宋体"/>
                <w:color w:val="auto"/>
                <w:spacing w:val="-2"/>
                <w:sz w:val="21"/>
                <w:highlight w:val="none"/>
              </w:rPr>
            </w:pPr>
          </w:p>
        </w:tc>
      </w:tr>
      <w:tr w14:paraId="55E711EF">
        <w:tblPrEx>
          <w:tblCellMar>
            <w:top w:w="0" w:type="dxa"/>
            <w:left w:w="0" w:type="dxa"/>
            <w:bottom w:w="0" w:type="dxa"/>
            <w:right w:w="0" w:type="dxa"/>
          </w:tblCellMar>
        </w:tblPrEx>
        <w:trPr>
          <w:trHeight w:val="716"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30945C15">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65</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4170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030414015001</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A3E9D">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电缆试验</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60D0B">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78A6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次</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根、点</w:t>
            </w:r>
            <w:r>
              <w:rPr>
                <w:rFonts w:hint="eastAsia" w:ascii="宋体" w:hAnsi="宋体" w:cs="宋体"/>
                <w:color w:val="auto"/>
                <w:spacing w:val="-2"/>
                <w:sz w:val="21"/>
                <w:highlight w:val="none"/>
                <w:lang w:eastAsia="zh-CN"/>
              </w:rPr>
              <w:t>）</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653DB">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8</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A598733">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8B60F1">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332A85D4">
            <w:pPr>
              <w:spacing w:line="232" w:lineRule="auto"/>
              <w:jc w:val="right"/>
              <w:rPr>
                <w:rFonts w:ascii="宋体" w:hAnsi="宋体" w:eastAsia="宋体" w:cs="宋体"/>
                <w:color w:val="auto"/>
                <w:spacing w:val="-2"/>
                <w:sz w:val="21"/>
                <w:highlight w:val="none"/>
              </w:rPr>
            </w:pPr>
          </w:p>
        </w:tc>
      </w:tr>
      <w:tr w14:paraId="0FAE7E43">
        <w:tblPrEx>
          <w:tblCellMar>
            <w:top w:w="0" w:type="dxa"/>
            <w:left w:w="0" w:type="dxa"/>
            <w:bottom w:w="0" w:type="dxa"/>
            <w:right w:w="0" w:type="dxa"/>
          </w:tblCellMar>
        </w:tblPrEx>
        <w:trPr>
          <w:trHeight w:val="480" w:hRule="exact"/>
        </w:trPr>
        <w:tc>
          <w:tcPr>
            <w:tcW w:w="8336" w:type="dxa"/>
            <w:gridSpan w:val="9"/>
            <w:tcBorders>
              <w:top w:val="single" w:color="000000" w:sz="4" w:space="0"/>
              <w:left w:val="single" w:color="000000" w:sz="10" w:space="0"/>
              <w:bottom w:val="single" w:color="auto" w:sz="4" w:space="0"/>
              <w:right w:val="single" w:color="000000" w:sz="4" w:space="0"/>
            </w:tcBorders>
            <w:shd w:val="clear" w:color="auto" w:fill="auto"/>
            <w:vAlign w:val="center"/>
          </w:tcPr>
          <w:p w14:paraId="4CFF632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本页小计</w:t>
            </w:r>
          </w:p>
        </w:tc>
        <w:tc>
          <w:tcPr>
            <w:tcW w:w="1141" w:type="dxa"/>
            <w:gridSpan w:val="2"/>
            <w:tcBorders>
              <w:top w:val="single" w:color="000000" w:sz="4" w:space="0"/>
              <w:left w:val="single" w:color="000000" w:sz="4" w:space="0"/>
              <w:bottom w:val="single" w:color="auto" w:sz="4" w:space="0"/>
              <w:right w:val="single" w:color="000000" w:sz="4" w:space="0"/>
            </w:tcBorders>
            <w:shd w:val="clear" w:color="auto" w:fill="auto"/>
          </w:tcPr>
          <w:p w14:paraId="4B6FBFE7">
            <w:pPr>
              <w:spacing w:line="232" w:lineRule="auto"/>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auto" w:sz="4" w:space="0"/>
              <w:right w:val="single" w:color="000000" w:sz="10" w:space="0"/>
            </w:tcBorders>
            <w:shd w:val="clear" w:color="auto" w:fill="auto"/>
          </w:tcPr>
          <w:p w14:paraId="48C68C26">
            <w:pPr>
              <w:spacing w:line="232" w:lineRule="auto"/>
              <w:rPr>
                <w:rFonts w:ascii="宋体" w:hAnsi="宋体" w:eastAsia="宋体" w:cs="宋体"/>
                <w:color w:val="auto"/>
                <w:spacing w:val="-2"/>
                <w:sz w:val="21"/>
                <w:highlight w:val="none"/>
              </w:rPr>
            </w:pPr>
          </w:p>
        </w:tc>
      </w:tr>
      <w:tr w14:paraId="65C2349D">
        <w:tblPrEx>
          <w:tblCellMar>
            <w:top w:w="0" w:type="dxa"/>
            <w:left w:w="0" w:type="dxa"/>
            <w:bottom w:w="0" w:type="dxa"/>
            <w:right w:w="0" w:type="dxa"/>
          </w:tblCellMar>
        </w:tblPrEx>
        <w:trPr>
          <w:trHeight w:val="673" w:hRule="exact"/>
        </w:trPr>
        <w:tc>
          <w:tcPr>
            <w:tcW w:w="10446" w:type="dxa"/>
            <w:gridSpan w:val="12"/>
            <w:tcBorders>
              <w:top w:val="single" w:color="auto" w:sz="4" w:space="0"/>
              <w:left w:val="single" w:color="auto" w:sz="4" w:space="0"/>
              <w:bottom w:val="single" w:color="auto" w:sz="4" w:space="0"/>
              <w:right w:val="single" w:color="auto" w:sz="4" w:space="0"/>
            </w:tcBorders>
            <w:shd w:val="clear" w:color="auto" w:fill="auto"/>
            <w:vAlign w:val="center"/>
          </w:tcPr>
          <w:p w14:paraId="419A4849">
            <w:pPr>
              <w:spacing w:line="232" w:lineRule="auto"/>
              <w:jc w:val="center"/>
              <w:rPr>
                <w:rFonts w:hint="eastAsia" w:ascii="宋体" w:hAnsi="宋体" w:eastAsia="宋体" w:cs="宋体"/>
                <w:b/>
                <w:color w:val="auto"/>
                <w:spacing w:val="-2"/>
                <w:sz w:val="32"/>
                <w:highlight w:val="none"/>
                <w:lang w:eastAsia="zh-CN"/>
              </w:rPr>
            </w:pPr>
            <w:r>
              <w:rPr>
                <w:rFonts w:hint="eastAsia" w:ascii="宋体" w:hAnsi="宋体" w:eastAsia="宋体" w:cs="宋体"/>
                <w:b/>
                <w:color w:val="auto"/>
                <w:spacing w:val="-2"/>
                <w:sz w:val="32"/>
                <w:highlight w:val="none"/>
                <w:lang w:eastAsia="zh-CN"/>
              </w:rPr>
              <w:t>全费用工程量清单与计价表</w:t>
            </w:r>
          </w:p>
        </w:tc>
      </w:tr>
      <w:tr w14:paraId="6945560D">
        <w:tblPrEx>
          <w:tblCellMar>
            <w:top w:w="0" w:type="dxa"/>
            <w:left w:w="0" w:type="dxa"/>
            <w:bottom w:w="0" w:type="dxa"/>
            <w:right w:w="0" w:type="dxa"/>
          </w:tblCellMar>
        </w:tblPrEx>
        <w:trPr>
          <w:trHeight w:val="344" w:hRule="exact"/>
        </w:trPr>
        <w:tc>
          <w:tcPr>
            <w:tcW w:w="5508"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54A09464">
            <w:pPr>
              <w:spacing w:line="232" w:lineRule="auto"/>
              <w:rPr>
                <w:rFonts w:ascii="黑体" w:hAnsi="黑体" w:eastAsia="黑体" w:cs="黑体"/>
                <w:color w:val="auto"/>
                <w:spacing w:val="-2"/>
                <w:sz w:val="21"/>
                <w:highlight w:val="none"/>
              </w:rPr>
            </w:pPr>
            <w:r>
              <w:rPr>
                <w:rFonts w:ascii="黑体" w:hAnsi="黑体" w:eastAsia="黑体" w:cs="黑体"/>
                <w:color w:val="auto"/>
                <w:spacing w:val="-2"/>
                <w:sz w:val="21"/>
                <w:highlight w:val="none"/>
              </w:rPr>
              <w:t>工程名称：安装</w:t>
            </w:r>
          </w:p>
        </w:tc>
        <w:tc>
          <w:tcPr>
            <w:tcW w:w="284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D690B6E">
            <w:pPr>
              <w:spacing w:line="232" w:lineRule="auto"/>
              <w:rPr>
                <w:rFonts w:ascii="黑体" w:hAnsi="黑体" w:eastAsia="黑体" w:cs="黑体"/>
                <w:color w:val="auto"/>
                <w:spacing w:val="-2"/>
                <w:sz w:val="21"/>
                <w:highlight w:val="none"/>
              </w:rPr>
            </w:pPr>
            <w:r>
              <w:rPr>
                <w:rFonts w:ascii="黑体" w:hAnsi="黑体" w:eastAsia="黑体" w:cs="黑体"/>
                <w:color w:val="auto"/>
                <w:spacing w:val="-2"/>
                <w:sz w:val="21"/>
                <w:highlight w:val="none"/>
              </w:rPr>
              <w:t>标段：</w:t>
            </w:r>
          </w:p>
        </w:tc>
        <w:tc>
          <w:tcPr>
            <w:tcW w:w="209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7EE1D86">
            <w:pPr>
              <w:spacing w:line="232" w:lineRule="auto"/>
              <w:jc w:val="right"/>
              <w:rPr>
                <w:rFonts w:ascii="黑体" w:hAnsi="黑体" w:eastAsia="黑体" w:cs="黑体"/>
                <w:color w:val="auto"/>
                <w:spacing w:val="-2"/>
                <w:sz w:val="21"/>
                <w:highlight w:val="none"/>
              </w:rPr>
            </w:pPr>
            <w:r>
              <w:rPr>
                <w:rFonts w:ascii="黑体" w:hAnsi="黑体" w:eastAsia="黑体" w:cs="黑体"/>
                <w:color w:val="auto"/>
                <w:spacing w:val="-2"/>
                <w:sz w:val="21"/>
                <w:highlight w:val="none"/>
              </w:rPr>
              <w:t>第5页 共5页</w:t>
            </w:r>
          </w:p>
        </w:tc>
      </w:tr>
      <w:tr w14:paraId="6783CEE9">
        <w:tblPrEx>
          <w:tblCellMar>
            <w:top w:w="0" w:type="dxa"/>
            <w:left w:w="0" w:type="dxa"/>
            <w:bottom w:w="0" w:type="dxa"/>
            <w:right w:w="0" w:type="dxa"/>
          </w:tblCellMar>
        </w:tblPrEx>
        <w:trPr>
          <w:trHeight w:val="301" w:hRule="exact"/>
        </w:trPr>
        <w:tc>
          <w:tcPr>
            <w:tcW w:w="544" w:type="dxa"/>
            <w:vMerge w:val="restart"/>
            <w:tcBorders>
              <w:top w:val="single" w:color="auto" w:sz="4" w:space="0"/>
              <w:left w:val="single" w:color="000000" w:sz="10" w:space="0"/>
              <w:bottom w:val="single" w:color="auto" w:sz="4" w:space="0"/>
              <w:right w:val="single" w:color="000000" w:sz="4" w:space="0"/>
            </w:tcBorders>
            <w:shd w:val="clear" w:color="auto" w:fill="FFFFFF"/>
            <w:vAlign w:val="center"/>
          </w:tcPr>
          <w:p w14:paraId="35BA1D73">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序号</w:t>
            </w:r>
          </w:p>
        </w:tc>
        <w:tc>
          <w:tcPr>
            <w:tcW w:w="888"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4D73FC6A">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项目编码</w:t>
            </w:r>
          </w:p>
        </w:tc>
        <w:tc>
          <w:tcPr>
            <w:tcW w:w="1182"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63D2F551">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项目名称</w:t>
            </w:r>
          </w:p>
        </w:tc>
        <w:tc>
          <w:tcPr>
            <w:tcW w:w="2894"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16617E14">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项目特征描述</w:t>
            </w:r>
          </w:p>
        </w:tc>
        <w:tc>
          <w:tcPr>
            <w:tcW w:w="823"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2291C6DE">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计量</w:t>
            </w:r>
          </w:p>
          <w:p w14:paraId="4C4E544B">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单位</w:t>
            </w:r>
          </w:p>
        </w:tc>
        <w:tc>
          <w:tcPr>
            <w:tcW w:w="837" w:type="dxa"/>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1145820F">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工程量</w:t>
            </w:r>
          </w:p>
        </w:tc>
        <w:tc>
          <w:tcPr>
            <w:tcW w:w="3278" w:type="dxa"/>
            <w:gridSpan w:val="6"/>
            <w:tcBorders>
              <w:top w:val="single" w:color="auto" w:sz="4" w:space="0"/>
              <w:left w:val="single" w:color="000000" w:sz="4" w:space="0"/>
              <w:bottom w:val="single" w:color="auto" w:sz="4" w:space="0"/>
              <w:right w:val="single" w:color="000000" w:sz="10" w:space="0"/>
            </w:tcBorders>
            <w:shd w:val="clear" w:color="auto" w:fill="FFFFFF"/>
            <w:vAlign w:val="center"/>
          </w:tcPr>
          <w:p w14:paraId="31180501">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金额（元）</w:t>
            </w:r>
          </w:p>
        </w:tc>
      </w:tr>
      <w:tr w14:paraId="0B236596">
        <w:tblPrEx>
          <w:tblCellMar>
            <w:top w:w="0" w:type="dxa"/>
            <w:left w:w="0" w:type="dxa"/>
            <w:bottom w:w="0" w:type="dxa"/>
            <w:right w:w="0" w:type="dxa"/>
          </w:tblCellMar>
        </w:tblPrEx>
        <w:trPr>
          <w:trHeight w:val="301" w:hRule="exact"/>
        </w:trPr>
        <w:tc>
          <w:tcPr>
            <w:tcW w:w="544" w:type="dxa"/>
            <w:vMerge w:val="continue"/>
            <w:tcBorders>
              <w:top w:val="single" w:color="auto" w:sz="4" w:space="0"/>
              <w:left w:val="single" w:color="000000" w:sz="10" w:space="0"/>
              <w:bottom w:val="single" w:color="auto" w:sz="4" w:space="0"/>
              <w:right w:val="single" w:color="000000" w:sz="4" w:space="0"/>
            </w:tcBorders>
            <w:shd w:val="clear" w:color="auto" w:fill="FFFFFF"/>
            <w:vAlign w:val="center"/>
          </w:tcPr>
          <w:p w14:paraId="69E08C32">
            <w:pPr>
              <w:rPr>
                <w:color w:val="auto"/>
                <w:highlight w:val="none"/>
              </w:rPr>
            </w:pPr>
          </w:p>
        </w:tc>
        <w:tc>
          <w:tcPr>
            <w:tcW w:w="888"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0CAA3520">
            <w:pPr>
              <w:rPr>
                <w:color w:val="auto"/>
                <w:highlight w:val="none"/>
              </w:rPr>
            </w:pPr>
          </w:p>
        </w:tc>
        <w:tc>
          <w:tcPr>
            <w:tcW w:w="1182"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19984F63">
            <w:pPr>
              <w:rPr>
                <w:color w:val="auto"/>
                <w:highlight w:val="none"/>
              </w:rPr>
            </w:pPr>
          </w:p>
        </w:tc>
        <w:tc>
          <w:tcPr>
            <w:tcW w:w="2894"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438B5456">
            <w:pPr>
              <w:rPr>
                <w:color w:val="auto"/>
                <w:highlight w:val="none"/>
              </w:rPr>
            </w:pPr>
          </w:p>
        </w:tc>
        <w:tc>
          <w:tcPr>
            <w:tcW w:w="823"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7E41B864">
            <w:pPr>
              <w:rPr>
                <w:color w:val="auto"/>
                <w:highlight w:val="none"/>
              </w:rPr>
            </w:pPr>
          </w:p>
        </w:tc>
        <w:tc>
          <w:tcPr>
            <w:tcW w:w="837" w:type="dxa"/>
            <w:vMerge w:val="continue"/>
            <w:tcBorders>
              <w:top w:val="single" w:color="auto" w:sz="4" w:space="0"/>
              <w:left w:val="single" w:color="000000" w:sz="4" w:space="0"/>
              <w:bottom w:val="single" w:color="auto" w:sz="4" w:space="0"/>
              <w:right w:val="single" w:color="000000" w:sz="4" w:space="0"/>
            </w:tcBorders>
            <w:shd w:val="clear" w:color="auto" w:fill="FFFFFF"/>
            <w:vAlign w:val="center"/>
          </w:tcPr>
          <w:p w14:paraId="06431181">
            <w:pPr>
              <w:jc w:val="center"/>
              <w:rPr>
                <w:color w:val="auto"/>
                <w:highlight w:val="none"/>
              </w:rPr>
            </w:pPr>
          </w:p>
        </w:tc>
        <w:tc>
          <w:tcPr>
            <w:tcW w:w="1168" w:type="dxa"/>
            <w:gridSpan w:val="3"/>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18FE719C">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综合单价</w:t>
            </w:r>
          </w:p>
        </w:tc>
        <w:tc>
          <w:tcPr>
            <w:tcW w:w="1141" w:type="dxa"/>
            <w:gridSpan w:val="2"/>
            <w:vMerge w:val="restart"/>
            <w:tcBorders>
              <w:top w:val="single" w:color="auto" w:sz="4" w:space="0"/>
              <w:left w:val="single" w:color="000000" w:sz="4" w:space="0"/>
              <w:bottom w:val="single" w:color="auto" w:sz="4" w:space="0"/>
              <w:right w:val="single" w:color="000000" w:sz="4" w:space="0"/>
            </w:tcBorders>
            <w:shd w:val="clear" w:color="auto" w:fill="FFFFFF"/>
            <w:vAlign w:val="center"/>
          </w:tcPr>
          <w:p w14:paraId="06999B45">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合价</w:t>
            </w:r>
          </w:p>
        </w:tc>
        <w:tc>
          <w:tcPr>
            <w:tcW w:w="969" w:type="dxa"/>
            <w:tcBorders>
              <w:top w:val="single" w:color="auto" w:sz="4" w:space="0"/>
              <w:left w:val="single" w:color="000000" w:sz="4" w:space="0"/>
              <w:bottom w:val="single" w:color="auto" w:sz="4" w:space="0"/>
              <w:right w:val="single" w:color="000000" w:sz="10" w:space="0"/>
            </w:tcBorders>
            <w:shd w:val="clear" w:color="auto" w:fill="FFFFFF"/>
            <w:vAlign w:val="center"/>
          </w:tcPr>
          <w:p w14:paraId="14FDD790">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其中</w:t>
            </w:r>
          </w:p>
        </w:tc>
      </w:tr>
      <w:tr w14:paraId="7BC2414F">
        <w:tblPrEx>
          <w:tblCellMar>
            <w:top w:w="0" w:type="dxa"/>
            <w:left w:w="0" w:type="dxa"/>
            <w:bottom w:w="0" w:type="dxa"/>
            <w:right w:w="0" w:type="dxa"/>
          </w:tblCellMar>
        </w:tblPrEx>
        <w:trPr>
          <w:trHeight w:val="287" w:hRule="exact"/>
        </w:trPr>
        <w:tc>
          <w:tcPr>
            <w:tcW w:w="544" w:type="dxa"/>
            <w:vMerge w:val="continue"/>
            <w:tcBorders>
              <w:top w:val="single" w:color="auto" w:sz="4" w:space="0"/>
              <w:left w:val="single" w:color="000000" w:sz="10" w:space="0"/>
              <w:bottom w:val="single" w:color="000000" w:sz="4" w:space="0"/>
              <w:right w:val="single" w:color="000000" w:sz="4" w:space="0"/>
            </w:tcBorders>
            <w:shd w:val="clear" w:color="auto" w:fill="FFFFFF"/>
            <w:vAlign w:val="center"/>
          </w:tcPr>
          <w:p w14:paraId="51EE2379">
            <w:pPr>
              <w:rPr>
                <w:color w:val="auto"/>
                <w:highlight w:val="none"/>
              </w:rPr>
            </w:pPr>
          </w:p>
        </w:tc>
        <w:tc>
          <w:tcPr>
            <w:tcW w:w="888"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5F0A386E">
            <w:pPr>
              <w:rPr>
                <w:color w:val="auto"/>
                <w:highlight w:val="none"/>
              </w:rPr>
            </w:pPr>
          </w:p>
        </w:tc>
        <w:tc>
          <w:tcPr>
            <w:tcW w:w="1182"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0FD92902">
            <w:pPr>
              <w:rPr>
                <w:color w:val="auto"/>
                <w:highlight w:val="none"/>
              </w:rPr>
            </w:pPr>
          </w:p>
        </w:tc>
        <w:tc>
          <w:tcPr>
            <w:tcW w:w="2894"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1E21EA58">
            <w:pPr>
              <w:rPr>
                <w:color w:val="auto"/>
                <w:highlight w:val="none"/>
              </w:rPr>
            </w:pPr>
          </w:p>
        </w:tc>
        <w:tc>
          <w:tcPr>
            <w:tcW w:w="823"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5E532C93">
            <w:pPr>
              <w:rPr>
                <w:color w:val="auto"/>
                <w:highlight w:val="none"/>
              </w:rPr>
            </w:pPr>
          </w:p>
        </w:tc>
        <w:tc>
          <w:tcPr>
            <w:tcW w:w="837"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4A372DB7">
            <w:pPr>
              <w:jc w:val="center"/>
              <w:rPr>
                <w:color w:val="auto"/>
                <w:highlight w:val="none"/>
              </w:rPr>
            </w:pPr>
          </w:p>
        </w:tc>
        <w:tc>
          <w:tcPr>
            <w:tcW w:w="1168" w:type="dxa"/>
            <w:gridSpan w:val="3"/>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7E6B887A">
            <w:pPr>
              <w:rPr>
                <w:color w:val="auto"/>
                <w:highlight w:val="none"/>
              </w:rPr>
            </w:pPr>
          </w:p>
        </w:tc>
        <w:tc>
          <w:tcPr>
            <w:tcW w:w="1141" w:type="dxa"/>
            <w:gridSpan w:val="2"/>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011CFC05">
            <w:pPr>
              <w:rPr>
                <w:color w:val="auto"/>
                <w:highlight w:val="none"/>
              </w:rPr>
            </w:pPr>
          </w:p>
        </w:tc>
        <w:tc>
          <w:tcPr>
            <w:tcW w:w="969" w:type="dxa"/>
            <w:tcBorders>
              <w:top w:val="single" w:color="auto" w:sz="4" w:space="0"/>
              <w:left w:val="single" w:color="000000" w:sz="4" w:space="0"/>
              <w:bottom w:val="single" w:color="000000" w:sz="4" w:space="0"/>
              <w:right w:val="single" w:color="000000" w:sz="10" w:space="0"/>
            </w:tcBorders>
            <w:shd w:val="clear" w:color="auto" w:fill="FFFFFF"/>
            <w:vAlign w:val="center"/>
          </w:tcPr>
          <w:p w14:paraId="3E65FC30">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暂估价</w:t>
            </w:r>
          </w:p>
        </w:tc>
      </w:tr>
      <w:tr w14:paraId="453A341E">
        <w:tblPrEx>
          <w:tblCellMar>
            <w:top w:w="0" w:type="dxa"/>
            <w:left w:w="0" w:type="dxa"/>
            <w:bottom w:w="0" w:type="dxa"/>
            <w:right w:w="0" w:type="dxa"/>
          </w:tblCellMar>
        </w:tblPrEx>
        <w:trPr>
          <w:trHeight w:val="565"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BA70BE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66</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79D8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030414011001</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5D23F">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接地装置</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D0FDC">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F599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组</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C0D2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25</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A57F72B">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38FFA8">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1E0A686A">
            <w:pPr>
              <w:spacing w:line="232" w:lineRule="auto"/>
              <w:jc w:val="right"/>
              <w:rPr>
                <w:rFonts w:ascii="宋体" w:hAnsi="宋体" w:eastAsia="宋体" w:cs="宋体"/>
                <w:color w:val="auto"/>
                <w:spacing w:val="-2"/>
                <w:sz w:val="21"/>
                <w:highlight w:val="none"/>
              </w:rPr>
            </w:pPr>
          </w:p>
        </w:tc>
      </w:tr>
      <w:tr w14:paraId="50956D3E">
        <w:tblPrEx>
          <w:tblCellMar>
            <w:top w:w="0" w:type="dxa"/>
            <w:left w:w="0" w:type="dxa"/>
            <w:bottom w:w="0" w:type="dxa"/>
            <w:right w:w="0" w:type="dxa"/>
          </w:tblCellMar>
        </w:tblPrEx>
        <w:trPr>
          <w:trHeight w:val="694"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75656DF8">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67</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D687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030410001036</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A0C75">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电杆拆除</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B9A2D">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名称：钢管塔拆除</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BF25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根</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基</w:t>
            </w:r>
            <w:r>
              <w:rPr>
                <w:rFonts w:hint="eastAsia" w:ascii="宋体" w:hAnsi="宋体" w:cs="宋体"/>
                <w:color w:val="auto"/>
                <w:spacing w:val="-2"/>
                <w:sz w:val="21"/>
                <w:highlight w:val="none"/>
                <w:lang w:eastAsia="zh-CN"/>
              </w:rPr>
              <w:t>）</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1F29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7BF05F1">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52F659">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41312666">
            <w:pPr>
              <w:spacing w:line="232" w:lineRule="auto"/>
              <w:jc w:val="right"/>
              <w:rPr>
                <w:rFonts w:ascii="宋体" w:hAnsi="宋体" w:eastAsia="宋体" w:cs="宋体"/>
                <w:color w:val="auto"/>
                <w:spacing w:val="-2"/>
                <w:sz w:val="21"/>
                <w:highlight w:val="none"/>
              </w:rPr>
            </w:pPr>
          </w:p>
        </w:tc>
      </w:tr>
      <w:tr w14:paraId="5B20B0F7">
        <w:tblPrEx>
          <w:tblCellMar>
            <w:top w:w="0" w:type="dxa"/>
            <w:left w:w="0" w:type="dxa"/>
            <w:bottom w:w="0" w:type="dxa"/>
            <w:right w:w="0" w:type="dxa"/>
          </w:tblCellMar>
        </w:tblPrEx>
        <w:trPr>
          <w:trHeight w:val="611"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2162E15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68</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C102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030410001034</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22BE8">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电杆拆除</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4185F">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名称：电杆拆除</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86E5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根</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基</w:t>
            </w:r>
            <w:r>
              <w:rPr>
                <w:rFonts w:hint="eastAsia" w:ascii="宋体" w:hAnsi="宋体" w:cs="宋体"/>
                <w:color w:val="auto"/>
                <w:spacing w:val="-2"/>
                <w:sz w:val="21"/>
                <w:highlight w:val="none"/>
                <w:lang w:eastAsia="zh-CN"/>
              </w:rPr>
              <w:t>）</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1D5E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15</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34A8118">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9F3FF8">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5FE5E278">
            <w:pPr>
              <w:spacing w:line="232" w:lineRule="auto"/>
              <w:jc w:val="right"/>
              <w:rPr>
                <w:rFonts w:ascii="宋体" w:hAnsi="宋体" w:eastAsia="宋体" w:cs="宋体"/>
                <w:color w:val="auto"/>
                <w:spacing w:val="-2"/>
                <w:sz w:val="21"/>
                <w:highlight w:val="none"/>
              </w:rPr>
            </w:pPr>
          </w:p>
        </w:tc>
      </w:tr>
      <w:tr w14:paraId="1CC85828">
        <w:tblPrEx>
          <w:tblCellMar>
            <w:top w:w="0" w:type="dxa"/>
            <w:left w:w="0" w:type="dxa"/>
            <w:bottom w:w="0" w:type="dxa"/>
            <w:right w:w="0" w:type="dxa"/>
          </w:tblCellMar>
        </w:tblPrEx>
        <w:trPr>
          <w:trHeight w:val="455"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1ABF12F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69</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1CA6B">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030410003004</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2677C">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导线拆除</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819AD">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D18A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km</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DE88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6.624</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8B0CAFC">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560EEB">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7B941119">
            <w:pPr>
              <w:spacing w:line="232" w:lineRule="auto"/>
              <w:jc w:val="right"/>
              <w:rPr>
                <w:rFonts w:ascii="宋体" w:hAnsi="宋体" w:eastAsia="宋体" w:cs="宋体"/>
                <w:color w:val="auto"/>
                <w:spacing w:val="-2"/>
                <w:sz w:val="21"/>
                <w:highlight w:val="none"/>
              </w:rPr>
            </w:pPr>
          </w:p>
        </w:tc>
      </w:tr>
      <w:tr w14:paraId="12D8F762">
        <w:tblPrEx>
          <w:tblCellMar>
            <w:top w:w="0" w:type="dxa"/>
            <w:left w:w="0" w:type="dxa"/>
            <w:bottom w:w="0" w:type="dxa"/>
            <w:right w:w="0" w:type="dxa"/>
          </w:tblCellMar>
        </w:tblPrEx>
        <w:trPr>
          <w:trHeight w:val="452"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34E8BF4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70</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B95E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030410002006</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C67D5">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横担拆除</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6743E">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44CD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组</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7C646">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31</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708E657">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66C8B1">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23155F4B">
            <w:pPr>
              <w:spacing w:line="232" w:lineRule="auto"/>
              <w:jc w:val="right"/>
              <w:rPr>
                <w:rFonts w:ascii="宋体" w:hAnsi="宋体" w:eastAsia="宋体" w:cs="宋体"/>
                <w:color w:val="auto"/>
                <w:spacing w:val="-2"/>
                <w:sz w:val="21"/>
                <w:highlight w:val="none"/>
              </w:rPr>
            </w:pPr>
          </w:p>
        </w:tc>
      </w:tr>
      <w:tr w14:paraId="4251EC8D">
        <w:tblPrEx>
          <w:tblCellMar>
            <w:top w:w="0" w:type="dxa"/>
            <w:left w:w="0" w:type="dxa"/>
            <w:bottom w:w="0" w:type="dxa"/>
            <w:right w:w="0" w:type="dxa"/>
          </w:tblCellMar>
        </w:tblPrEx>
        <w:trPr>
          <w:trHeight w:val="520"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245CFAE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71</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4A32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030410002008</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18D3D">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拉线拆除</w:t>
            </w: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8DDA5">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5693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组</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11DE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4C4C6C8">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2C7F1B">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41C4C39A">
            <w:pPr>
              <w:spacing w:line="232" w:lineRule="auto"/>
              <w:jc w:val="right"/>
              <w:rPr>
                <w:rFonts w:ascii="宋体" w:hAnsi="宋体" w:eastAsia="宋体" w:cs="宋体"/>
                <w:color w:val="auto"/>
                <w:spacing w:val="-2"/>
                <w:sz w:val="21"/>
                <w:highlight w:val="none"/>
              </w:rPr>
            </w:pPr>
          </w:p>
        </w:tc>
      </w:tr>
      <w:tr w14:paraId="6099A46F">
        <w:tblPrEx>
          <w:tblCellMar>
            <w:top w:w="0" w:type="dxa"/>
            <w:left w:w="0" w:type="dxa"/>
            <w:bottom w:w="0" w:type="dxa"/>
            <w:right w:w="0" w:type="dxa"/>
          </w:tblCellMar>
        </w:tblPrEx>
        <w:trPr>
          <w:trHeight w:val="344"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62FF52F7">
            <w:pPr>
              <w:spacing w:line="232" w:lineRule="auto"/>
              <w:jc w:val="center"/>
              <w:rPr>
                <w:rFonts w:ascii="宋体" w:hAnsi="宋体" w:eastAsia="宋体" w:cs="宋体"/>
                <w:color w:val="auto"/>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C8BFD">
            <w:pPr>
              <w:spacing w:line="232" w:lineRule="auto"/>
              <w:jc w:val="center"/>
              <w:rPr>
                <w:rFonts w:ascii="宋体" w:hAnsi="宋体" w:eastAsia="宋体" w:cs="宋体"/>
                <w:color w:val="auto"/>
                <w:spacing w:val="-2"/>
                <w:sz w:val="21"/>
                <w:highlight w:val="none"/>
              </w:rPr>
            </w:pPr>
          </w:p>
        </w:tc>
        <w:tc>
          <w:tcPr>
            <w:tcW w:w="40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442CBD">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分部分项合计</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AF591">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BC154">
            <w:pPr>
              <w:spacing w:line="232" w:lineRule="auto"/>
              <w:jc w:val="right"/>
              <w:rPr>
                <w:rFonts w:ascii="宋体" w:hAnsi="宋体" w:eastAsia="宋体" w:cs="宋体"/>
                <w:color w:val="auto"/>
                <w:spacing w:val="-2"/>
                <w:sz w:val="21"/>
                <w:highlight w:val="none"/>
              </w:rPr>
            </w:pPr>
            <w:r>
              <w:rPr>
                <w:rFonts w:ascii="宋体" w:hAnsi="宋体" w:eastAsia="宋体" w:cs="宋体"/>
                <w:color w:val="auto"/>
                <w:spacing w:val="-2"/>
                <w:sz w:val="21"/>
                <w:highlight w:val="none"/>
              </w:rPr>
              <w:t xml:space="preserve"> </w:t>
            </w: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EEA962">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F4081A">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6D8C4203">
            <w:pPr>
              <w:spacing w:line="232" w:lineRule="auto"/>
              <w:jc w:val="right"/>
              <w:rPr>
                <w:rFonts w:ascii="宋体" w:hAnsi="宋体" w:eastAsia="宋体" w:cs="宋体"/>
                <w:color w:val="auto"/>
                <w:spacing w:val="-2"/>
                <w:sz w:val="21"/>
                <w:highlight w:val="none"/>
              </w:rPr>
            </w:pPr>
          </w:p>
        </w:tc>
      </w:tr>
      <w:tr w14:paraId="74005D3A">
        <w:tblPrEx>
          <w:tblCellMar>
            <w:top w:w="0" w:type="dxa"/>
            <w:left w:w="0" w:type="dxa"/>
            <w:bottom w:w="0" w:type="dxa"/>
            <w:right w:w="0" w:type="dxa"/>
          </w:tblCellMar>
        </w:tblPrEx>
        <w:trPr>
          <w:trHeight w:val="344"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53C88ACA">
            <w:pPr>
              <w:spacing w:line="232" w:lineRule="auto"/>
              <w:jc w:val="center"/>
              <w:rPr>
                <w:rFonts w:ascii="宋体" w:hAnsi="宋体" w:eastAsia="宋体" w:cs="宋体"/>
                <w:color w:val="auto"/>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15EF1">
            <w:pPr>
              <w:spacing w:line="232" w:lineRule="auto"/>
              <w:jc w:val="center"/>
              <w:rPr>
                <w:rFonts w:ascii="宋体" w:hAnsi="宋体" w:eastAsia="宋体" w:cs="宋体"/>
                <w:color w:val="auto"/>
                <w:spacing w:val="-2"/>
                <w:sz w:val="21"/>
                <w:highlight w:val="none"/>
              </w:rPr>
            </w:pP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F9F0C">
            <w:pPr>
              <w:spacing w:line="232" w:lineRule="auto"/>
              <w:rPr>
                <w:rFonts w:ascii="宋体" w:hAnsi="宋体" w:eastAsia="宋体" w:cs="宋体"/>
                <w:color w:val="auto"/>
                <w:spacing w:val="-2"/>
                <w:sz w:val="21"/>
                <w:highlight w:val="none"/>
              </w:rPr>
            </w:pP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B93C4">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D739D">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34AE1">
            <w:pPr>
              <w:spacing w:line="232" w:lineRule="auto"/>
              <w:jc w:val="right"/>
              <w:rPr>
                <w:rFonts w:ascii="宋体" w:hAnsi="宋体" w:eastAsia="宋体" w:cs="宋体"/>
                <w:color w:val="auto"/>
                <w:spacing w:val="-2"/>
                <w:sz w:val="21"/>
                <w:highlight w:val="none"/>
              </w:rPr>
            </w:pP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C8209B9">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C9C127">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182E2B13">
            <w:pPr>
              <w:spacing w:line="232" w:lineRule="auto"/>
              <w:jc w:val="right"/>
              <w:rPr>
                <w:rFonts w:ascii="宋体" w:hAnsi="宋体" w:eastAsia="宋体" w:cs="宋体"/>
                <w:color w:val="auto"/>
                <w:spacing w:val="-2"/>
                <w:sz w:val="21"/>
                <w:highlight w:val="none"/>
              </w:rPr>
            </w:pPr>
          </w:p>
        </w:tc>
      </w:tr>
      <w:tr w14:paraId="3F2F42ED">
        <w:tblPrEx>
          <w:tblCellMar>
            <w:top w:w="0" w:type="dxa"/>
            <w:left w:w="0" w:type="dxa"/>
            <w:bottom w:w="0" w:type="dxa"/>
            <w:right w:w="0" w:type="dxa"/>
          </w:tblCellMar>
        </w:tblPrEx>
        <w:trPr>
          <w:trHeight w:val="329"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41BA74BD">
            <w:pPr>
              <w:spacing w:line="232" w:lineRule="auto"/>
              <w:jc w:val="center"/>
              <w:rPr>
                <w:rFonts w:ascii="宋体" w:hAnsi="宋体" w:eastAsia="宋体" w:cs="宋体"/>
                <w:color w:val="auto"/>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D9E41">
            <w:pPr>
              <w:spacing w:line="232" w:lineRule="auto"/>
              <w:jc w:val="center"/>
              <w:rPr>
                <w:rFonts w:ascii="宋体" w:hAnsi="宋体" w:eastAsia="宋体" w:cs="宋体"/>
                <w:color w:val="auto"/>
                <w:spacing w:val="-2"/>
                <w:sz w:val="21"/>
                <w:highlight w:val="none"/>
              </w:rPr>
            </w:pP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37E01">
            <w:pPr>
              <w:spacing w:line="232" w:lineRule="auto"/>
              <w:rPr>
                <w:rFonts w:ascii="宋体" w:hAnsi="宋体" w:eastAsia="宋体" w:cs="宋体"/>
                <w:color w:val="auto"/>
                <w:spacing w:val="-2"/>
                <w:sz w:val="21"/>
                <w:highlight w:val="none"/>
              </w:rPr>
            </w:pP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CAD54">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E591D">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CF5B6">
            <w:pPr>
              <w:spacing w:line="232" w:lineRule="auto"/>
              <w:jc w:val="right"/>
              <w:rPr>
                <w:rFonts w:ascii="宋体" w:hAnsi="宋体" w:eastAsia="宋体" w:cs="宋体"/>
                <w:color w:val="auto"/>
                <w:spacing w:val="-2"/>
                <w:sz w:val="21"/>
                <w:highlight w:val="none"/>
              </w:rPr>
            </w:pP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09E1C7B">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24786A">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0AD8B3FD">
            <w:pPr>
              <w:spacing w:line="232" w:lineRule="auto"/>
              <w:jc w:val="right"/>
              <w:rPr>
                <w:rFonts w:ascii="宋体" w:hAnsi="宋体" w:eastAsia="宋体" w:cs="宋体"/>
                <w:color w:val="auto"/>
                <w:spacing w:val="-2"/>
                <w:sz w:val="21"/>
                <w:highlight w:val="none"/>
              </w:rPr>
            </w:pPr>
          </w:p>
        </w:tc>
      </w:tr>
      <w:tr w14:paraId="26EADC00">
        <w:tblPrEx>
          <w:tblCellMar>
            <w:top w:w="0" w:type="dxa"/>
            <w:left w:w="0" w:type="dxa"/>
            <w:bottom w:w="0" w:type="dxa"/>
            <w:right w:w="0" w:type="dxa"/>
          </w:tblCellMar>
        </w:tblPrEx>
        <w:trPr>
          <w:trHeight w:val="344"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4CD58307">
            <w:pPr>
              <w:spacing w:line="232" w:lineRule="auto"/>
              <w:jc w:val="center"/>
              <w:rPr>
                <w:rFonts w:ascii="宋体" w:hAnsi="宋体" w:eastAsia="宋体" w:cs="宋体"/>
                <w:color w:val="auto"/>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A3AC8">
            <w:pPr>
              <w:spacing w:line="232" w:lineRule="auto"/>
              <w:jc w:val="center"/>
              <w:rPr>
                <w:rFonts w:ascii="宋体" w:hAnsi="宋体" w:eastAsia="宋体" w:cs="宋体"/>
                <w:color w:val="auto"/>
                <w:spacing w:val="-2"/>
                <w:sz w:val="21"/>
                <w:highlight w:val="none"/>
              </w:rPr>
            </w:pP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8B215">
            <w:pPr>
              <w:spacing w:line="232" w:lineRule="auto"/>
              <w:rPr>
                <w:rFonts w:ascii="宋体" w:hAnsi="宋体" w:eastAsia="宋体" w:cs="宋体"/>
                <w:color w:val="auto"/>
                <w:spacing w:val="-2"/>
                <w:sz w:val="21"/>
                <w:highlight w:val="none"/>
              </w:rPr>
            </w:pP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F627E">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F76AF">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6E1C8">
            <w:pPr>
              <w:spacing w:line="232" w:lineRule="auto"/>
              <w:jc w:val="right"/>
              <w:rPr>
                <w:rFonts w:ascii="宋体" w:hAnsi="宋体" w:eastAsia="宋体" w:cs="宋体"/>
                <w:color w:val="auto"/>
                <w:spacing w:val="-2"/>
                <w:sz w:val="21"/>
                <w:highlight w:val="none"/>
              </w:rPr>
            </w:pP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54464DC">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148ACB">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33719A1E">
            <w:pPr>
              <w:spacing w:line="232" w:lineRule="auto"/>
              <w:jc w:val="right"/>
              <w:rPr>
                <w:rFonts w:ascii="宋体" w:hAnsi="宋体" w:eastAsia="宋体" w:cs="宋体"/>
                <w:color w:val="auto"/>
                <w:spacing w:val="-2"/>
                <w:sz w:val="21"/>
                <w:highlight w:val="none"/>
              </w:rPr>
            </w:pPr>
          </w:p>
        </w:tc>
      </w:tr>
      <w:tr w14:paraId="000621A9">
        <w:tblPrEx>
          <w:tblCellMar>
            <w:top w:w="0" w:type="dxa"/>
            <w:left w:w="0" w:type="dxa"/>
            <w:bottom w:w="0" w:type="dxa"/>
            <w:right w:w="0" w:type="dxa"/>
          </w:tblCellMar>
        </w:tblPrEx>
        <w:trPr>
          <w:trHeight w:val="344"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6E71D8DD">
            <w:pPr>
              <w:spacing w:line="232" w:lineRule="auto"/>
              <w:jc w:val="center"/>
              <w:rPr>
                <w:rFonts w:ascii="宋体" w:hAnsi="宋体" w:eastAsia="宋体" w:cs="宋体"/>
                <w:color w:val="auto"/>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AE6C3">
            <w:pPr>
              <w:spacing w:line="232" w:lineRule="auto"/>
              <w:jc w:val="center"/>
              <w:rPr>
                <w:rFonts w:ascii="宋体" w:hAnsi="宋体" w:eastAsia="宋体" w:cs="宋体"/>
                <w:color w:val="auto"/>
                <w:spacing w:val="-2"/>
                <w:sz w:val="21"/>
                <w:highlight w:val="none"/>
              </w:rPr>
            </w:pP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C7A33">
            <w:pPr>
              <w:spacing w:line="232" w:lineRule="auto"/>
              <w:rPr>
                <w:rFonts w:ascii="宋体" w:hAnsi="宋体" w:eastAsia="宋体" w:cs="宋体"/>
                <w:color w:val="auto"/>
                <w:spacing w:val="-2"/>
                <w:sz w:val="21"/>
                <w:highlight w:val="none"/>
              </w:rPr>
            </w:pP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79C3C">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58611">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182BB">
            <w:pPr>
              <w:spacing w:line="232" w:lineRule="auto"/>
              <w:jc w:val="right"/>
              <w:rPr>
                <w:rFonts w:ascii="宋体" w:hAnsi="宋体" w:eastAsia="宋体" w:cs="宋体"/>
                <w:color w:val="auto"/>
                <w:spacing w:val="-2"/>
                <w:sz w:val="21"/>
                <w:highlight w:val="none"/>
              </w:rPr>
            </w:pP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70D2CBF">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7FA207">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72FB4C14">
            <w:pPr>
              <w:spacing w:line="232" w:lineRule="auto"/>
              <w:jc w:val="right"/>
              <w:rPr>
                <w:rFonts w:ascii="宋体" w:hAnsi="宋体" w:eastAsia="宋体" w:cs="宋体"/>
                <w:color w:val="auto"/>
                <w:spacing w:val="-2"/>
                <w:sz w:val="21"/>
                <w:highlight w:val="none"/>
              </w:rPr>
            </w:pPr>
          </w:p>
        </w:tc>
      </w:tr>
      <w:tr w14:paraId="7C1F56E3">
        <w:tblPrEx>
          <w:tblCellMar>
            <w:top w:w="0" w:type="dxa"/>
            <w:left w:w="0" w:type="dxa"/>
            <w:bottom w:w="0" w:type="dxa"/>
            <w:right w:w="0" w:type="dxa"/>
          </w:tblCellMar>
        </w:tblPrEx>
        <w:trPr>
          <w:trHeight w:val="330"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2FC46868">
            <w:pPr>
              <w:spacing w:line="232" w:lineRule="auto"/>
              <w:jc w:val="center"/>
              <w:rPr>
                <w:rFonts w:ascii="宋体" w:hAnsi="宋体" w:eastAsia="宋体" w:cs="宋体"/>
                <w:color w:val="auto"/>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2DE15">
            <w:pPr>
              <w:spacing w:line="232" w:lineRule="auto"/>
              <w:jc w:val="center"/>
              <w:rPr>
                <w:rFonts w:ascii="宋体" w:hAnsi="宋体" w:eastAsia="宋体" w:cs="宋体"/>
                <w:color w:val="auto"/>
                <w:spacing w:val="-2"/>
                <w:sz w:val="21"/>
                <w:highlight w:val="none"/>
              </w:rPr>
            </w:pP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9BB3C">
            <w:pPr>
              <w:spacing w:line="232" w:lineRule="auto"/>
              <w:rPr>
                <w:rFonts w:ascii="宋体" w:hAnsi="宋体" w:eastAsia="宋体" w:cs="宋体"/>
                <w:color w:val="auto"/>
                <w:spacing w:val="-2"/>
                <w:sz w:val="21"/>
                <w:highlight w:val="none"/>
              </w:rPr>
            </w:pP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31780">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2152F">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90AA3">
            <w:pPr>
              <w:spacing w:line="232" w:lineRule="auto"/>
              <w:jc w:val="right"/>
              <w:rPr>
                <w:rFonts w:ascii="宋体" w:hAnsi="宋体" w:eastAsia="宋体" w:cs="宋体"/>
                <w:color w:val="auto"/>
                <w:spacing w:val="-2"/>
                <w:sz w:val="21"/>
                <w:highlight w:val="none"/>
              </w:rPr>
            </w:pP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09CEA33">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75FCB0">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39AF2E60">
            <w:pPr>
              <w:spacing w:line="232" w:lineRule="auto"/>
              <w:jc w:val="right"/>
              <w:rPr>
                <w:rFonts w:ascii="宋体" w:hAnsi="宋体" w:eastAsia="宋体" w:cs="宋体"/>
                <w:color w:val="auto"/>
                <w:spacing w:val="-2"/>
                <w:sz w:val="21"/>
                <w:highlight w:val="none"/>
              </w:rPr>
            </w:pPr>
          </w:p>
        </w:tc>
      </w:tr>
      <w:tr w14:paraId="1FE99993">
        <w:tblPrEx>
          <w:tblCellMar>
            <w:top w:w="0" w:type="dxa"/>
            <w:left w:w="0" w:type="dxa"/>
            <w:bottom w:w="0" w:type="dxa"/>
            <w:right w:w="0" w:type="dxa"/>
          </w:tblCellMar>
        </w:tblPrEx>
        <w:trPr>
          <w:trHeight w:val="343"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1033D51C">
            <w:pPr>
              <w:spacing w:line="232" w:lineRule="auto"/>
              <w:jc w:val="center"/>
              <w:rPr>
                <w:rFonts w:ascii="宋体" w:hAnsi="宋体" w:eastAsia="宋体" w:cs="宋体"/>
                <w:color w:val="auto"/>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EDA42">
            <w:pPr>
              <w:spacing w:line="232" w:lineRule="auto"/>
              <w:jc w:val="center"/>
              <w:rPr>
                <w:rFonts w:ascii="宋体" w:hAnsi="宋体" w:eastAsia="宋体" w:cs="宋体"/>
                <w:color w:val="auto"/>
                <w:spacing w:val="-2"/>
                <w:sz w:val="21"/>
                <w:highlight w:val="none"/>
              </w:rPr>
            </w:pP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9E702">
            <w:pPr>
              <w:spacing w:line="232" w:lineRule="auto"/>
              <w:rPr>
                <w:rFonts w:ascii="宋体" w:hAnsi="宋体" w:eastAsia="宋体" w:cs="宋体"/>
                <w:color w:val="auto"/>
                <w:spacing w:val="-2"/>
                <w:sz w:val="21"/>
                <w:highlight w:val="none"/>
              </w:rPr>
            </w:pP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8D0BE">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26638">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A96E4">
            <w:pPr>
              <w:spacing w:line="232" w:lineRule="auto"/>
              <w:jc w:val="right"/>
              <w:rPr>
                <w:rFonts w:ascii="宋体" w:hAnsi="宋体" w:eastAsia="宋体" w:cs="宋体"/>
                <w:color w:val="auto"/>
                <w:spacing w:val="-2"/>
                <w:sz w:val="21"/>
                <w:highlight w:val="none"/>
              </w:rPr>
            </w:pP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986BC28">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AF8CF9">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64A3931D">
            <w:pPr>
              <w:spacing w:line="232" w:lineRule="auto"/>
              <w:jc w:val="right"/>
              <w:rPr>
                <w:rFonts w:ascii="宋体" w:hAnsi="宋体" w:eastAsia="宋体" w:cs="宋体"/>
                <w:color w:val="auto"/>
                <w:spacing w:val="-2"/>
                <w:sz w:val="21"/>
                <w:highlight w:val="none"/>
              </w:rPr>
            </w:pPr>
          </w:p>
        </w:tc>
      </w:tr>
      <w:tr w14:paraId="46A02846">
        <w:tblPrEx>
          <w:tblCellMar>
            <w:top w:w="0" w:type="dxa"/>
            <w:left w:w="0" w:type="dxa"/>
            <w:bottom w:w="0" w:type="dxa"/>
            <w:right w:w="0" w:type="dxa"/>
          </w:tblCellMar>
        </w:tblPrEx>
        <w:trPr>
          <w:trHeight w:val="330"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22C058D6">
            <w:pPr>
              <w:spacing w:line="232" w:lineRule="auto"/>
              <w:jc w:val="center"/>
              <w:rPr>
                <w:rFonts w:ascii="宋体" w:hAnsi="宋体" w:eastAsia="宋体" w:cs="宋体"/>
                <w:color w:val="auto"/>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2E37E">
            <w:pPr>
              <w:spacing w:line="232" w:lineRule="auto"/>
              <w:jc w:val="center"/>
              <w:rPr>
                <w:rFonts w:ascii="宋体" w:hAnsi="宋体" w:eastAsia="宋体" w:cs="宋体"/>
                <w:color w:val="auto"/>
                <w:spacing w:val="-2"/>
                <w:sz w:val="21"/>
                <w:highlight w:val="none"/>
              </w:rPr>
            </w:pP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A02DD">
            <w:pPr>
              <w:spacing w:line="232" w:lineRule="auto"/>
              <w:rPr>
                <w:rFonts w:ascii="宋体" w:hAnsi="宋体" w:eastAsia="宋体" w:cs="宋体"/>
                <w:color w:val="auto"/>
                <w:spacing w:val="-2"/>
                <w:sz w:val="21"/>
                <w:highlight w:val="none"/>
              </w:rPr>
            </w:pP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7E4C9">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240A4">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D5C7F">
            <w:pPr>
              <w:spacing w:line="232" w:lineRule="auto"/>
              <w:jc w:val="right"/>
              <w:rPr>
                <w:rFonts w:ascii="宋体" w:hAnsi="宋体" w:eastAsia="宋体" w:cs="宋体"/>
                <w:color w:val="auto"/>
                <w:spacing w:val="-2"/>
                <w:sz w:val="21"/>
                <w:highlight w:val="none"/>
              </w:rPr>
            </w:pP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53DC134">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9612C9">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51D4F881">
            <w:pPr>
              <w:spacing w:line="232" w:lineRule="auto"/>
              <w:jc w:val="right"/>
              <w:rPr>
                <w:rFonts w:ascii="宋体" w:hAnsi="宋体" w:eastAsia="宋体" w:cs="宋体"/>
                <w:color w:val="auto"/>
                <w:spacing w:val="-2"/>
                <w:sz w:val="21"/>
                <w:highlight w:val="none"/>
              </w:rPr>
            </w:pPr>
          </w:p>
        </w:tc>
      </w:tr>
      <w:tr w14:paraId="048D3D06">
        <w:tblPrEx>
          <w:tblCellMar>
            <w:top w:w="0" w:type="dxa"/>
            <w:left w:w="0" w:type="dxa"/>
            <w:bottom w:w="0" w:type="dxa"/>
            <w:right w:w="0" w:type="dxa"/>
          </w:tblCellMar>
        </w:tblPrEx>
        <w:trPr>
          <w:trHeight w:val="344"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73F922B1">
            <w:pPr>
              <w:spacing w:line="232" w:lineRule="auto"/>
              <w:jc w:val="center"/>
              <w:rPr>
                <w:rFonts w:ascii="宋体" w:hAnsi="宋体" w:eastAsia="宋体" w:cs="宋体"/>
                <w:color w:val="auto"/>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A0852">
            <w:pPr>
              <w:spacing w:line="232" w:lineRule="auto"/>
              <w:jc w:val="center"/>
              <w:rPr>
                <w:rFonts w:ascii="宋体" w:hAnsi="宋体" w:eastAsia="宋体" w:cs="宋体"/>
                <w:color w:val="auto"/>
                <w:spacing w:val="-2"/>
                <w:sz w:val="21"/>
                <w:highlight w:val="none"/>
              </w:rPr>
            </w:pP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C6D2C">
            <w:pPr>
              <w:spacing w:line="232" w:lineRule="auto"/>
              <w:rPr>
                <w:rFonts w:ascii="宋体" w:hAnsi="宋体" w:eastAsia="宋体" w:cs="宋体"/>
                <w:color w:val="auto"/>
                <w:spacing w:val="-2"/>
                <w:sz w:val="21"/>
                <w:highlight w:val="none"/>
              </w:rPr>
            </w:pP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F10AC">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D9CB6">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F7D75">
            <w:pPr>
              <w:spacing w:line="232" w:lineRule="auto"/>
              <w:jc w:val="right"/>
              <w:rPr>
                <w:rFonts w:ascii="宋体" w:hAnsi="宋体" w:eastAsia="宋体" w:cs="宋体"/>
                <w:color w:val="auto"/>
                <w:spacing w:val="-2"/>
                <w:sz w:val="21"/>
                <w:highlight w:val="none"/>
              </w:rPr>
            </w:pP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7F3A389">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8160CD">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3528D240">
            <w:pPr>
              <w:spacing w:line="232" w:lineRule="auto"/>
              <w:jc w:val="right"/>
              <w:rPr>
                <w:rFonts w:ascii="宋体" w:hAnsi="宋体" w:eastAsia="宋体" w:cs="宋体"/>
                <w:color w:val="auto"/>
                <w:spacing w:val="-2"/>
                <w:sz w:val="21"/>
                <w:highlight w:val="none"/>
              </w:rPr>
            </w:pPr>
          </w:p>
        </w:tc>
      </w:tr>
      <w:tr w14:paraId="01E1CE46">
        <w:tblPrEx>
          <w:tblCellMar>
            <w:top w:w="0" w:type="dxa"/>
            <w:left w:w="0" w:type="dxa"/>
            <w:bottom w:w="0" w:type="dxa"/>
            <w:right w:w="0" w:type="dxa"/>
          </w:tblCellMar>
        </w:tblPrEx>
        <w:trPr>
          <w:trHeight w:val="344"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17D7E67A">
            <w:pPr>
              <w:spacing w:line="232" w:lineRule="auto"/>
              <w:jc w:val="center"/>
              <w:rPr>
                <w:rFonts w:ascii="宋体" w:hAnsi="宋体" w:eastAsia="宋体" w:cs="宋体"/>
                <w:color w:val="auto"/>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D01EA">
            <w:pPr>
              <w:spacing w:line="232" w:lineRule="auto"/>
              <w:jc w:val="center"/>
              <w:rPr>
                <w:rFonts w:ascii="宋体" w:hAnsi="宋体" w:eastAsia="宋体" w:cs="宋体"/>
                <w:color w:val="auto"/>
                <w:spacing w:val="-2"/>
                <w:sz w:val="21"/>
                <w:highlight w:val="none"/>
              </w:rPr>
            </w:pP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18847">
            <w:pPr>
              <w:spacing w:line="232" w:lineRule="auto"/>
              <w:rPr>
                <w:rFonts w:ascii="宋体" w:hAnsi="宋体" w:eastAsia="宋体" w:cs="宋体"/>
                <w:color w:val="auto"/>
                <w:spacing w:val="-2"/>
                <w:sz w:val="21"/>
                <w:highlight w:val="none"/>
              </w:rPr>
            </w:pP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9EFF0">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D5130">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2161E">
            <w:pPr>
              <w:spacing w:line="232" w:lineRule="auto"/>
              <w:jc w:val="right"/>
              <w:rPr>
                <w:rFonts w:ascii="宋体" w:hAnsi="宋体" w:eastAsia="宋体" w:cs="宋体"/>
                <w:color w:val="auto"/>
                <w:spacing w:val="-2"/>
                <w:sz w:val="21"/>
                <w:highlight w:val="none"/>
              </w:rPr>
            </w:pP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7859CB8">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0AF5E5">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5B3C7CAE">
            <w:pPr>
              <w:spacing w:line="232" w:lineRule="auto"/>
              <w:jc w:val="right"/>
              <w:rPr>
                <w:rFonts w:ascii="宋体" w:hAnsi="宋体" w:eastAsia="宋体" w:cs="宋体"/>
                <w:color w:val="auto"/>
                <w:spacing w:val="-2"/>
                <w:sz w:val="21"/>
                <w:highlight w:val="none"/>
              </w:rPr>
            </w:pPr>
          </w:p>
        </w:tc>
      </w:tr>
      <w:tr w14:paraId="338C9307">
        <w:tblPrEx>
          <w:tblCellMar>
            <w:top w:w="0" w:type="dxa"/>
            <w:left w:w="0" w:type="dxa"/>
            <w:bottom w:w="0" w:type="dxa"/>
            <w:right w:w="0" w:type="dxa"/>
          </w:tblCellMar>
        </w:tblPrEx>
        <w:trPr>
          <w:trHeight w:val="329"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4F968B3F">
            <w:pPr>
              <w:spacing w:line="232" w:lineRule="auto"/>
              <w:jc w:val="center"/>
              <w:rPr>
                <w:rFonts w:ascii="宋体" w:hAnsi="宋体" w:eastAsia="宋体" w:cs="宋体"/>
                <w:color w:val="auto"/>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56C2F">
            <w:pPr>
              <w:spacing w:line="232" w:lineRule="auto"/>
              <w:jc w:val="center"/>
              <w:rPr>
                <w:rFonts w:ascii="宋体" w:hAnsi="宋体" w:eastAsia="宋体" w:cs="宋体"/>
                <w:color w:val="auto"/>
                <w:spacing w:val="-2"/>
                <w:sz w:val="21"/>
                <w:highlight w:val="none"/>
              </w:rPr>
            </w:pP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E0E24">
            <w:pPr>
              <w:spacing w:line="232" w:lineRule="auto"/>
              <w:rPr>
                <w:rFonts w:ascii="宋体" w:hAnsi="宋体" w:eastAsia="宋体" w:cs="宋体"/>
                <w:color w:val="auto"/>
                <w:spacing w:val="-2"/>
                <w:sz w:val="21"/>
                <w:highlight w:val="none"/>
              </w:rPr>
            </w:pP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653A4">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A0D74">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71858">
            <w:pPr>
              <w:spacing w:line="232" w:lineRule="auto"/>
              <w:jc w:val="right"/>
              <w:rPr>
                <w:rFonts w:ascii="宋体" w:hAnsi="宋体" w:eastAsia="宋体" w:cs="宋体"/>
                <w:color w:val="auto"/>
                <w:spacing w:val="-2"/>
                <w:sz w:val="21"/>
                <w:highlight w:val="none"/>
              </w:rPr>
            </w:pP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EC251DC">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1629C4">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170CC8EF">
            <w:pPr>
              <w:spacing w:line="232" w:lineRule="auto"/>
              <w:jc w:val="right"/>
              <w:rPr>
                <w:rFonts w:ascii="宋体" w:hAnsi="宋体" w:eastAsia="宋体" w:cs="宋体"/>
                <w:color w:val="auto"/>
                <w:spacing w:val="-2"/>
                <w:sz w:val="21"/>
                <w:highlight w:val="none"/>
              </w:rPr>
            </w:pPr>
          </w:p>
        </w:tc>
      </w:tr>
      <w:tr w14:paraId="42A6DCD2">
        <w:tblPrEx>
          <w:tblCellMar>
            <w:top w:w="0" w:type="dxa"/>
            <w:left w:w="0" w:type="dxa"/>
            <w:bottom w:w="0" w:type="dxa"/>
            <w:right w:w="0" w:type="dxa"/>
          </w:tblCellMar>
        </w:tblPrEx>
        <w:trPr>
          <w:trHeight w:val="344"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791EA7B5">
            <w:pPr>
              <w:spacing w:line="232" w:lineRule="auto"/>
              <w:jc w:val="center"/>
              <w:rPr>
                <w:rFonts w:ascii="宋体" w:hAnsi="宋体" w:eastAsia="宋体" w:cs="宋体"/>
                <w:color w:val="auto"/>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DCBD7">
            <w:pPr>
              <w:spacing w:line="232" w:lineRule="auto"/>
              <w:jc w:val="center"/>
              <w:rPr>
                <w:rFonts w:ascii="宋体" w:hAnsi="宋体" w:eastAsia="宋体" w:cs="宋体"/>
                <w:color w:val="auto"/>
                <w:spacing w:val="-2"/>
                <w:sz w:val="21"/>
                <w:highlight w:val="none"/>
              </w:rPr>
            </w:pP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02F0C">
            <w:pPr>
              <w:spacing w:line="232" w:lineRule="auto"/>
              <w:rPr>
                <w:rFonts w:ascii="宋体" w:hAnsi="宋体" w:eastAsia="宋体" w:cs="宋体"/>
                <w:color w:val="auto"/>
                <w:spacing w:val="-2"/>
                <w:sz w:val="21"/>
                <w:highlight w:val="none"/>
              </w:rPr>
            </w:pP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C195A">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D6032">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7E705">
            <w:pPr>
              <w:spacing w:line="232" w:lineRule="auto"/>
              <w:jc w:val="right"/>
              <w:rPr>
                <w:rFonts w:ascii="宋体" w:hAnsi="宋体" w:eastAsia="宋体" w:cs="宋体"/>
                <w:color w:val="auto"/>
                <w:spacing w:val="-2"/>
                <w:sz w:val="21"/>
                <w:highlight w:val="none"/>
              </w:rPr>
            </w:pP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8C08E67">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49E834">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1148A964">
            <w:pPr>
              <w:spacing w:line="232" w:lineRule="auto"/>
              <w:jc w:val="right"/>
              <w:rPr>
                <w:rFonts w:ascii="宋体" w:hAnsi="宋体" w:eastAsia="宋体" w:cs="宋体"/>
                <w:color w:val="auto"/>
                <w:spacing w:val="-2"/>
                <w:sz w:val="21"/>
                <w:highlight w:val="none"/>
              </w:rPr>
            </w:pPr>
          </w:p>
        </w:tc>
      </w:tr>
      <w:tr w14:paraId="58763015">
        <w:tblPrEx>
          <w:tblCellMar>
            <w:top w:w="0" w:type="dxa"/>
            <w:left w:w="0" w:type="dxa"/>
            <w:bottom w:w="0" w:type="dxa"/>
            <w:right w:w="0" w:type="dxa"/>
          </w:tblCellMar>
        </w:tblPrEx>
        <w:trPr>
          <w:trHeight w:val="344"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ED5E611">
            <w:pPr>
              <w:spacing w:line="232" w:lineRule="auto"/>
              <w:jc w:val="center"/>
              <w:rPr>
                <w:rFonts w:ascii="宋体" w:hAnsi="宋体" w:eastAsia="宋体" w:cs="宋体"/>
                <w:color w:val="auto"/>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3F8D6">
            <w:pPr>
              <w:spacing w:line="232" w:lineRule="auto"/>
              <w:jc w:val="center"/>
              <w:rPr>
                <w:rFonts w:ascii="宋体" w:hAnsi="宋体" w:eastAsia="宋体" w:cs="宋体"/>
                <w:color w:val="auto"/>
                <w:spacing w:val="-2"/>
                <w:sz w:val="21"/>
                <w:highlight w:val="none"/>
              </w:rPr>
            </w:pP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26D33">
            <w:pPr>
              <w:spacing w:line="232" w:lineRule="auto"/>
              <w:rPr>
                <w:rFonts w:ascii="宋体" w:hAnsi="宋体" w:eastAsia="宋体" w:cs="宋体"/>
                <w:color w:val="auto"/>
                <w:spacing w:val="-2"/>
                <w:sz w:val="21"/>
                <w:highlight w:val="none"/>
              </w:rPr>
            </w:pP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4289F">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05CF7">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4F3C9">
            <w:pPr>
              <w:spacing w:line="232" w:lineRule="auto"/>
              <w:jc w:val="right"/>
              <w:rPr>
                <w:rFonts w:ascii="宋体" w:hAnsi="宋体" w:eastAsia="宋体" w:cs="宋体"/>
                <w:color w:val="auto"/>
                <w:spacing w:val="-2"/>
                <w:sz w:val="21"/>
                <w:highlight w:val="none"/>
              </w:rPr>
            </w:pP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B9B4DFA">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8EC376">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62D7001A">
            <w:pPr>
              <w:spacing w:line="232" w:lineRule="auto"/>
              <w:jc w:val="right"/>
              <w:rPr>
                <w:rFonts w:ascii="宋体" w:hAnsi="宋体" w:eastAsia="宋体" w:cs="宋体"/>
                <w:color w:val="auto"/>
                <w:spacing w:val="-2"/>
                <w:sz w:val="21"/>
                <w:highlight w:val="none"/>
              </w:rPr>
            </w:pPr>
          </w:p>
        </w:tc>
      </w:tr>
      <w:tr w14:paraId="1B230BC0">
        <w:tblPrEx>
          <w:tblCellMar>
            <w:top w:w="0" w:type="dxa"/>
            <w:left w:w="0" w:type="dxa"/>
            <w:bottom w:w="0" w:type="dxa"/>
            <w:right w:w="0" w:type="dxa"/>
          </w:tblCellMar>
        </w:tblPrEx>
        <w:trPr>
          <w:trHeight w:val="330"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2B9DE31">
            <w:pPr>
              <w:spacing w:line="232" w:lineRule="auto"/>
              <w:jc w:val="center"/>
              <w:rPr>
                <w:rFonts w:ascii="宋体" w:hAnsi="宋体" w:eastAsia="宋体" w:cs="宋体"/>
                <w:color w:val="auto"/>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7B293">
            <w:pPr>
              <w:spacing w:line="232" w:lineRule="auto"/>
              <w:jc w:val="center"/>
              <w:rPr>
                <w:rFonts w:ascii="宋体" w:hAnsi="宋体" w:eastAsia="宋体" w:cs="宋体"/>
                <w:color w:val="auto"/>
                <w:spacing w:val="-2"/>
                <w:sz w:val="21"/>
                <w:highlight w:val="none"/>
              </w:rPr>
            </w:pP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36399">
            <w:pPr>
              <w:spacing w:line="232" w:lineRule="auto"/>
              <w:rPr>
                <w:rFonts w:ascii="宋体" w:hAnsi="宋体" w:eastAsia="宋体" w:cs="宋体"/>
                <w:color w:val="auto"/>
                <w:spacing w:val="-2"/>
                <w:sz w:val="21"/>
                <w:highlight w:val="none"/>
              </w:rPr>
            </w:pP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6794C">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7ED79">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DEC15">
            <w:pPr>
              <w:spacing w:line="232" w:lineRule="auto"/>
              <w:jc w:val="right"/>
              <w:rPr>
                <w:rFonts w:ascii="宋体" w:hAnsi="宋体" w:eastAsia="宋体" w:cs="宋体"/>
                <w:color w:val="auto"/>
                <w:spacing w:val="-2"/>
                <w:sz w:val="21"/>
                <w:highlight w:val="none"/>
              </w:rPr>
            </w:pP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A87D8D1">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B6AF01">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76B55BC7">
            <w:pPr>
              <w:spacing w:line="232" w:lineRule="auto"/>
              <w:jc w:val="right"/>
              <w:rPr>
                <w:rFonts w:ascii="宋体" w:hAnsi="宋体" w:eastAsia="宋体" w:cs="宋体"/>
                <w:color w:val="auto"/>
                <w:spacing w:val="-2"/>
                <w:sz w:val="21"/>
                <w:highlight w:val="none"/>
              </w:rPr>
            </w:pPr>
          </w:p>
        </w:tc>
      </w:tr>
      <w:tr w14:paraId="1FC17C35">
        <w:tblPrEx>
          <w:tblCellMar>
            <w:top w:w="0" w:type="dxa"/>
            <w:left w:w="0" w:type="dxa"/>
            <w:bottom w:w="0" w:type="dxa"/>
            <w:right w:w="0" w:type="dxa"/>
          </w:tblCellMar>
        </w:tblPrEx>
        <w:trPr>
          <w:trHeight w:val="343"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17F46637">
            <w:pPr>
              <w:spacing w:line="232" w:lineRule="auto"/>
              <w:jc w:val="center"/>
              <w:rPr>
                <w:rFonts w:ascii="宋体" w:hAnsi="宋体" w:eastAsia="宋体" w:cs="宋体"/>
                <w:color w:val="auto"/>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1F2C4">
            <w:pPr>
              <w:spacing w:line="232" w:lineRule="auto"/>
              <w:jc w:val="center"/>
              <w:rPr>
                <w:rFonts w:ascii="宋体" w:hAnsi="宋体" w:eastAsia="宋体" w:cs="宋体"/>
                <w:color w:val="auto"/>
                <w:spacing w:val="-2"/>
                <w:sz w:val="21"/>
                <w:highlight w:val="none"/>
              </w:rPr>
            </w:pP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6AB8D">
            <w:pPr>
              <w:spacing w:line="232" w:lineRule="auto"/>
              <w:rPr>
                <w:rFonts w:ascii="宋体" w:hAnsi="宋体" w:eastAsia="宋体" w:cs="宋体"/>
                <w:color w:val="auto"/>
                <w:spacing w:val="-2"/>
                <w:sz w:val="21"/>
                <w:highlight w:val="none"/>
              </w:rPr>
            </w:pP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3899E">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847AD">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CEF9D">
            <w:pPr>
              <w:spacing w:line="232" w:lineRule="auto"/>
              <w:jc w:val="right"/>
              <w:rPr>
                <w:rFonts w:ascii="宋体" w:hAnsi="宋体" w:eastAsia="宋体" w:cs="宋体"/>
                <w:color w:val="auto"/>
                <w:spacing w:val="-2"/>
                <w:sz w:val="21"/>
                <w:highlight w:val="none"/>
              </w:rPr>
            </w:pP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19FD033">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021642">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75E1723F">
            <w:pPr>
              <w:spacing w:line="232" w:lineRule="auto"/>
              <w:jc w:val="right"/>
              <w:rPr>
                <w:rFonts w:ascii="宋体" w:hAnsi="宋体" w:eastAsia="宋体" w:cs="宋体"/>
                <w:color w:val="auto"/>
                <w:spacing w:val="-2"/>
                <w:sz w:val="21"/>
                <w:highlight w:val="none"/>
              </w:rPr>
            </w:pPr>
          </w:p>
        </w:tc>
      </w:tr>
      <w:tr w14:paraId="67047556">
        <w:tblPrEx>
          <w:tblCellMar>
            <w:top w:w="0" w:type="dxa"/>
            <w:left w:w="0" w:type="dxa"/>
            <w:bottom w:w="0" w:type="dxa"/>
            <w:right w:w="0" w:type="dxa"/>
          </w:tblCellMar>
        </w:tblPrEx>
        <w:trPr>
          <w:trHeight w:val="330"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104C8886">
            <w:pPr>
              <w:spacing w:line="232" w:lineRule="auto"/>
              <w:jc w:val="center"/>
              <w:rPr>
                <w:rFonts w:ascii="宋体" w:hAnsi="宋体" w:eastAsia="宋体" w:cs="宋体"/>
                <w:color w:val="auto"/>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D3104">
            <w:pPr>
              <w:spacing w:line="232" w:lineRule="auto"/>
              <w:jc w:val="center"/>
              <w:rPr>
                <w:rFonts w:ascii="宋体" w:hAnsi="宋体" w:eastAsia="宋体" w:cs="宋体"/>
                <w:color w:val="auto"/>
                <w:spacing w:val="-2"/>
                <w:sz w:val="21"/>
                <w:highlight w:val="none"/>
              </w:rPr>
            </w:pP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EE69E">
            <w:pPr>
              <w:spacing w:line="232" w:lineRule="auto"/>
              <w:rPr>
                <w:rFonts w:ascii="宋体" w:hAnsi="宋体" w:eastAsia="宋体" w:cs="宋体"/>
                <w:color w:val="auto"/>
                <w:spacing w:val="-2"/>
                <w:sz w:val="21"/>
                <w:highlight w:val="none"/>
              </w:rPr>
            </w:pP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56BCF">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8C34E">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AC51B">
            <w:pPr>
              <w:spacing w:line="232" w:lineRule="auto"/>
              <w:jc w:val="right"/>
              <w:rPr>
                <w:rFonts w:ascii="宋体" w:hAnsi="宋体" w:eastAsia="宋体" w:cs="宋体"/>
                <w:color w:val="auto"/>
                <w:spacing w:val="-2"/>
                <w:sz w:val="21"/>
                <w:highlight w:val="none"/>
              </w:rPr>
            </w:pP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5F58F93">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89FD82">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23688074">
            <w:pPr>
              <w:spacing w:line="232" w:lineRule="auto"/>
              <w:jc w:val="right"/>
              <w:rPr>
                <w:rFonts w:ascii="宋体" w:hAnsi="宋体" w:eastAsia="宋体" w:cs="宋体"/>
                <w:color w:val="auto"/>
                <w:spacing w:val="-2"/>
                <w:sz w:val="21"/>
                <w:highlight w:val="none"/>
              </w:rPr>
            </w:pPr>
          </w:p>
        </w:tc>
      </w:tr>
      <w:tr w14:paraId="3B034A2F">
        <w:tblPrEx>
          <w:tblCellMar>
            <w:top w:w="0" w:type="dxa"/>
            <w:left w:w="0" w:type="dxa"/>
            <w:bottom w:w="0" w:type="dxa"/>
            <w:right w:w="0" w:type="dxa"/>
          </w:tblCellMar>
        </w:tblPrEx>
        <w:trPr>
          <w:trHeight w:val="344"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6860F42C">
            <w:pPr>
              <w:spacing w:line="232" w:lineRule="auto"/>
              <w:jc w:val="center"/>
              <w:rPr>
                <w:rFonts w:ascii="宋体" w:hAnsi="宋体" w:eastAsia="宋体" w:cs="宋体"/>
                <w:color w:val="auto"/>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09ADE">
            <w:pPr>
              <w:spacing w:line="232" w:lineRule="auto"/>
              <w:jc w:val="center"/>
              <w:rPr>
                <w:rFonts w:ascii="宋体" w:hAnsi="宋体" w:eastAsia="宋体" w:cs="宋体"/>
                <w:color w:val="auto"/>
                <w:spacing w:val="-2"/>
                <w:sz w:val="21"/>
                <w:highlight w:val="none"/>
              </w:rPr>
            </w:pP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7CF01">
            <w:pPr>
              <w:spacing w:line="232" w:lineRule="auto"/>
              <w:rPr>
                <w:rFonts w:ascii="宋体" w:hAnsi="宋体" w:eastAsia="宋体" w:cs="宋体"/>
                <w:color w:val="auto"/>
                <w:spacing w:val="-2"/>
                <w:sz w:val="21"/>
                <w:highlight w:val="none"/>
              </w:rPr>
            </w:pP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A9CE0">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25E7B">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43318">
            <w:pPr>
              <w:spacing w:line="232" w:lineRule="auto"/>
              <w:jc w:val="right"/>
              <w:rPr>
                <w:rFonts w:ascii="宋体" w:hAnsi="宋体" w:eastAsia="宋体" w:cs="宋体"/>
                <w:color w:val="auto"/>
                <w:spacing w:val="-2"/>
                <w:sz w:val="21"/>
                <w:highlight w:val="none"/>
              </w:rPr>
            </w:pP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535C2BC">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79786D">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33FD907A">
            <w:pPr>
              <w:spacing w:line="232" w:lineRule="auto"/>
              <w:jc w:val="right"/>
              <w:rPr>
                <w:rFonts w:ascii="宋体" w:hAnsi="宋体" w:eastAsia="宋体" w:cs="宋体"/>
                <w:color w:val="auto"/>
                <w:spacing w:val="-2"/>
                <w:sz w:val="21"/>
                <w:highlight w:val="none"/>
              </w:rPr>
            </w:pPr>
          </w:p>
        </w:tc>
      </w:tr>
      <w:tr w14:paraId="0DB1640F">
        <w:tblPrEx>
          <w:tblCellMar>
            <w:top w:w="0" w:type="dxa"/>
            <w:left w:w="0" w:type="dxa"/>
            <w:bottom w:w="0" w:type="dxa"/>
            <w:right w:w="0" w:type="dxa"/>
          </w:tblCellMar>
        </w:tblPrEx>
        <w:trPr>
          <w:trHeight w:val="330"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612FDBE">
            <w:pPr>
              <w:spacing w:line="232" w:lineRule="auto"/>
              <w:jc w:val="center"/>
              <w:rPr>
                <w:rFonts w:ascii="宋体" w:hAnsi="宋体" w:eastAsia="宋体" w:cs="宋体"/>
                <w:color w:val="auto"/>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A15F4">
            <w:pPr>
              <w:spacing w:line="232" w:lineRule="auto"/>
              <w:jc w:val="center"/>
              <w:rPr>
                <w:rFonts w:ascii="宋体" w:hAnsi="宋体" w:eastAsia="宋体" w:cs="宋体"/>
                <w:color w:val="auto"/>
                <w:spacing w:val="-2"/>
                <w:sz w:val="21"/>
                <w:highlight w:val="none"/>
              </w:rPr>
            </w:pP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8970A">
            <w:pPr>
              <w:spacing w:line="232" w:lineRule="auto"/>
              <w:rPr>
                <w:rFonts w:ascii="宋体" w:hAnsi="宋体" w:eastAsia="宋体" w:cs="宋体"/>
                <w:color w:val="auto"/>
                <w:spacing w:val="-2"/>
                <w:sz w:val="21"/>
                <w:highlight w:val="none"/>
              </w:rPr>
            </w:pP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E20BD">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97D97">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934E2">
            <w:pPr>
              <w:spacing w:line="232" w:lineRule="auto"/>
              <w:jc w:val="right"/>
              <w:rPr>
                <w:rFonts w:ascii="宋体" w:hAnsi="宋体" w:eastAsia="宋体" w:cs="宋体"/>
                <w:color w:val="auto"/>
                <w:spacing w:val="-2"/>
                <w:sz w:val="21"/>
                <w:highlight w:val="none"/>
              </w:rPr>
            </w:pP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C3A1DEE">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8D95DC">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72FB895F">
            <w:pPr>
              <w:spacing w:line="232" w:lineRule="auto"/>
              <w:jc w:val="right"/>
              <w:rPr>
                <w:rFonts w:ascii="宋体" w:hAnsi="宋体" w:eastAsia="宋体" w:cs="宋体"/>
                <w:color w:val="auto"/>
                <w:spacing w:val="-2"/>
                <w:sz w:val="21"/>
                <w:highlight w:val="none"/>
              </w:rPr>
            </w:pPr>
          </w:p>
        </w:tc>
      </w:tr>
      <w:tr w14:paraId="587EF730">
        <w:tblPrEx>
          <w:tblCellMar>
            <w:top w:w="0" w:type="dxa"/>
            <w:left w:w="0" w:type="dxa"/>
            <w:bottom w:w="0" w:type="dxa"/>
            <w:right w:w="0" w:type="dxa"/>
          </w:tblCellMar>
        </w:tblPrEx>
        <w:trPr>
          <w:trHeight w:val="344"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4396BFC9">
            <w:pPr>
              <w:spacing w:line="232" w:lineRule="auto"/>
              <w:jc w:val="center"/>
              <w:rPr>
                <w:rFonts w:ascii="宋体" w:hAnsi="宋体" w:eastAsia="宋体" w:cs="宋体"/>
                <w:color w:val="auto"/>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59A41">
            <w:pPr>
              <w:spacing w:line="232" w:lineRule="auto"/>
              <w:jc w:val="center"/>
              <w:rPr>
                <w:rFonts w:ascii="宋体" w:hAnsi="宋体" w:eastAsia="宋体" w:cs="宋体"/>
                <w:color w:val="auto"/>
                <w:spacing w:val="-2"/>
                <w:sz w:val="21"/>
                <w:highlight w:val="none"/>
              </w:rPr>
            </w:pP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6410F">
            <w:pPr>
              <w:spacing w:line="232" w:lineRule="auto"/>
              <w:rPr>
                <w:rFonts w:ascii="宋体" w:hAnsi="宋体" w:eastAsia="宋体" w:cs="宋体"/>
                <w:color w:val="auto"/>
                <w:spacing w:val="-2"/>
                <w:sz w:val="21"/>
                <w:highlight w:val="none"/>
              </w:rPr>
            </w:pP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FA0BB">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547C3">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488BF">
            <w:pPr>
              <w:spacing w:line="232" w:lineRule="auto"/>
              <w:jc w:val="right"/>
              <w:rPr>
                <w:rFonts w:ascii="宋体" w:hAnsi="宋体" w:eastAsia="宋体" w:cs="宋体"/>
                <w:color w:val="auto"/>
                <w:spacing w:val="-2"/>
                <w:sz w:val="21"/>
                <w:highlight w:val="none"/>
              </w:rPr>
            </w:pP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F012284">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D1EB35">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5ACF0D4D">
            <w:pPr>
              <w:spacing w:line="232" w:lineRule="auto"/>
              <w:jc w:val="right"/>
              <w:rPr>
                <w:rFonts w:ascii="宋体" w:hAnsi="宋体" w:eastAsia="宋体" w:cs="宋体"/>
                <w:color w:val="auto"/>
                <w:spacing w:val="-2"/>
                <w:sz w:val="21"/>
                <w:highlight w:val="none"/>
              </w:rPr>
            </w:pPr>
          </w:p>
        </w:tc>
      </w:tr>
      <w:tr w14:paraId="1A354F79">
        <w:tblPrEx>
          <w:tblCellMar>
            <w:top w:w="0" w:type="dxa"/>
            <w:left w:w="0" w:type="dxa"/>
            <w:bottom w:w="0" w:type="dxa"/>
            <w:right w:w="0" w:type="dxa"/>
          </w:tblCellMar>
        </w:tblPrEx>
        <w:trPr>
          <w:trHeight w:val="344"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16A38DBB">
            <w:pPr>
              <w:spacing w:line="232" w:lineRule="auto"/>
              <w:jc w:val="center"/>
              <w:rPr>
                <w:rFonts w:ascii="宋体" w:hAnsi="宋体" w:eastAsia="宋体" w:cs="宋体"/>
                <w:color w:val="auto"/>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0CEBE">
            <w:pPr>
              <w:spacing w:line="232" w:lineRule="auto"/>
              <w:jc w:val="center"/>
              <w:rPr>
                <w:rFonts w:ascii="宋体" w:hAnsi="宋体" w:eastAsia="宋体" w:cs="宋体"/>
                <w:color w:val="auto"/>
                <w:spacing w:val="-2"/>
                <w:sz w:val="21"/>
                <w:highlight w:val="none"/>
              </w:rPr>
            </w:pP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F99B4">
            <w:pPr>
              <w:spacing w:line="232" w:lineRule="auto"/>
              <w:rPr>
                <w:rFonts w:ascii="宋体" w:hAnsi="宋体" w:eastAsia="宋体" w:cs="宋体"/>
                <w:color w:val="auto"/>
                <w:spacing w:val="-2"/>
                <w:sz w:val="21"/>
                <w:highlight w:val="none"/>
              </w:rPr>
            </w:pP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48B3C">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C9D27">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A75B9">
            <w:pPr>
              <w:spacing w:line="232" w:lineRule="auto"/>
              <w:jc w:val="right"/>
              <w:rPr>
                <w:rFonts w:ascii="宋体" w:hAnsi="宋体" w:eastAsia="宋体" w:cs="宋体"/>
                <w:color w:val="auto"/>
                <w:spacing w:val="-2"/>
                <w:sz w:val="21"/>
                <w:highlight w:val="none"/>
              </w:rPr>
            </w:pP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E8988A5">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2FE3DE">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77E4C4C6">
            <w:pPr>
              <w:spacing w:line="232" w:lineRule="auto"/>
              <w:jc w:val="right"/>
              <w:rPr>
                <w:rFonts w:ascii="宋体" w:hAnsi="宋体" w:eastAsia="宋体" w:cs="宋体"/>
                <w:color w:val="auto"/>
                <w:spacing w:val="-2"/>
                <w:sz w:val="21"/>
                <w:highlight w:val="none"/>
              </w:rPr>
            </w:pPr>
          </w:p>
        </w:tc>
      </w:tr>
      <w:tr w14:paraId="49AD561D">
        <w:tblPrEx>
          <w:tblCellMar>
            <w:top w:w="0" w:type="dxa"/>
            <w:left w:w="0" w:type="dxa"/>
            <w:bottom w:w="0" w:type="dxa"/>
            <w:right w:w="0" w:type="dxa"/>
          </w:tblCellMar>
        </w:tblPrEx>
        <w:trPr>
          <w:trHeight w:val="329"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6DBBC690">
            <w:pPr>
              <w:spacing w:line="232" w:lineRule="auto"/>
              <w:jc w:val="center"/>
              <w:rPr>
                <w:rFonts w:ascii="宋体" w:hAnsi="宋体" w:eastAsia="宋体" w:cs="宋体"/>
                <w:color w:val="auto"/>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54BB6">
            <w:pPr>
              <w:spacing w:line="232" w:lineRule="auto"/>
              <w:jc w:val="center"/>
              <w:rPr>
                <w:rFonts w:ascii="宋体" w:hAnsi="宋体" w:eastAsia="宋体" w:cs="宋体"/>
                <w:color w:val="auto"/>
                <w:spacing w:val="-2"/>
                <w:sz w:val="21"/>
                <w:highlight w:val="none"/>
              </w:rPr>
            </w:pP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E8E38">
            <w:pPr>
              <w:spacing w:line="232" w:lineRule="auto"/>
              <w:rPr>
                <w:rFonts w:ascii="宋体" w:hAnsi="宋体" w:eastAsia="宋体" w:cs="宋体"/>
                <w:color w:val="auto"/>
                <w:spacing w:val="-2"/>
                <w:sz w:val="21"/>
                <w:highlight w:val="none"/>
              </w:rPr>
            </w:pP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FDB15">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69570">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53C09">
            <w:pPr>
              <w:spacing w:line="232" w:lineRule="auto"/>
              <w:jc w:val="right"/>
              <w:rPr>
                <w:rFonts w:ascii="宋体" w:hAnsi="宋体" w:eastAsia="宋体" w:cs="宋体"/>
                <w:color w:val="auto"/>
                <w:spacing w:val="-2"/>
                <w:sz w:val="21"/>
                <w:highlight w:val="none"/>
              </w:rPr>
            </w:pP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3B7D0C8">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64EA1D">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7857728D">
            <w:pPr>
              <w:spacing w:line="232" w:lineRule="auto"/>
              <w:jc w:val="right"/>
              <w:rPr>
                <w:rFonts w:ascii="宋体" w:hAnsi="宋体" w:eastAsia="宋体" w:cs="宋体"/>
                <w:color w:val="auto"/>
                <w:spacing w:val="-2"/>
                <w:sz w:val="21"/>
                <w:highlight w:val="none"/>
              </w:rPr>
            </w:pPr>
          </w:p>
        </w:tc>
      </w:tr>
      <w:tr w14:paraId="1E507625">
        <w:tblPrEx>
          <w:tblCellMar>
            <w:top w:w="0" w:type="dxa"/>
            <w:left w:w="0" w:type="dxa"/>
            <w:bottom w:w="0" w:type="dxa"/>
            <w:right w:w="0" w:type="dxa"/>
          </w:tblCellMar>
        </w:tblPrEx>
        <w:trPr>
          <w:trHeight w:val="344"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C03240A">
            <w:pPr>
              <w:spacing w:line="232" w:lineRule="auto"/>
              <w:jc w:val="center"/>
              <w:rPr>
                <w:rFonts w:ascii="宋体" w:hAnsi="宋体" w:eastAsia="宋体" w:cs="宋体"/>
                <w:color w:val="auto"/>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E0176">
            <w:pPr>
              <w:spacing w:line="232" w:lineRule="auto"/>
              <w:jc w:val="center"/>
              <w:rPr>
                <w:rFonts w:ascii="宋体" w:hAnsi="宋体" w:eastAsia="宋体" w:cs="宋体"/>
                <w:color w:val="auto"/>
                <w:spacing w:val="-2"/>
                <w:sz w:val="21"/>
                <w:highlight w:val="none"/>
              </w:rPr>
            </w:pP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2653D">
            <w:pPr>
              <w:spacing w:line="232" w:lineRule="auto"/>
              <w:rPr>
                <w:rFonts w:ascii="宋体" w:hAnsi="宋体" w:eastAsia="宋体" w:cs="宋体"/>
                <w:color w:val="auto"/>
                <w:spacing w:val="-2"/>
                <w:sz w:val="21"/>
                <w:highlight w:val="none"/>
              </w:rPr>
            </w:pP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45077">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8909C">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62680">
            <w:pPr>
              <w:spacing w:line="232" w:lineRule="auto"/>
              <w:jc w:val="right"/>
              <w:rPr>
                <w:rFonts w:ascii="宋体" w:hAnsi="宋体" w:eastAsia="宋体" w:cs="宋体"/>
                <w:color w:val="auto"/>
                <w:spacing w:val="-2"/>
                <w:sz w:val="21"/>
                <w:highlight w:val="none"/>
              </w:rPr>
            </w:pP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20CC330">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C8DF9F">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379C7882">
            <w:pPr>
              <w:spacing w:line="232" w:lineRule="auto"/>
              <w:jc w:val="right"/>
              <w:rPr>
                <w:rFonts w:ascii="宋体" w:hAnsi="宋体" w:eastAsia="宋体" w:cs="宋体"/>
                <w:color w:val="auto"/>
                <w:spacing w:val="-2"/>
                <w:sz w:val="21"/>
                <w:highlight w:val="none"/>
              </w:rPr>
            </w:pPr>
          </w:p>
        </w:tc>
      </w:tr>
      <w:tr w14:paraId="209132D1">
        <w:tblPrEx>
          <w:tblCellMar>
            <w:top w:w="0" w:type="dxa"/>
            <w:left w:w="0" w:type="dxa"/>
            <w:bottom w:w="0" w:type="dxa"/>
            <w:right w:w="0" w:type="dxa"/>
          </w:tblCellMar>
        </w:tblPrEx>
        <w:trPr>
          <w:trHeight w:val="344"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78A0A453">
            <w:pPr>
              <w:spacing w:line="232" w:lineRule="auto"/>
              <w:jc w:val="center"/>
              <w:rPr>
                <w:rFonts w:ascii="宋体" w:hAnsi="宋体" w:eastAsia="宋体" w:cs="宋体"/>
                <w:color w:val="auto"/>
                <w:spacing w:val="-2"/>
                <w:sz w:val="21"/>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A3594">
            <w:pPr>
              <w:spacing w:line="232" w:lineRule="auto"/>
              <w:jc w:val="center"/>
              <w:rPr>
                <w:rFonts w:ascii="宋体" w:hAnsi="宋体" w:eastAsia="宋体" w:cs="宋体"/>
                <w:color w:val="auto"/>
                <w:spacing w:val="-2"/>
                <w:sz w:val="21"/>
                <w:highlight w:val="none"/>
              </w:rPr>
            </w:pP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75237">
            <w:pPr>
              <w:spacing w:line="232" w:lineRule="auto"/>
              <w:rPr>
                <w:rFonts w:ascii="宋体" w:hAnsi="宋体" w:eastAsia="宋体" w:cs="宋体"/>
                <w:color w:val="auto"/>
                <w:spacing w:val="-2"/>
                <w:sz w:val="21"/>
                <w:highlight w:val="none"/>
              </w:rPr>
            </w:pPr>
          </w:p>
        </w:tc>
        <w:tc>
          <w:tcPr>
            <w:tcW w:w="2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53F03">
            <w:pPr>
              <w:spacing w:line="232" w:lineRule="auto"/>
              <w:rPr>
                <w:rFonts w:ascii="宋体" w:hAnsi="宋体" w:eastAsia="宋体" w:cs="宋体"/>
                <w:color w:val="auto"/>
                <w:spacing w:val="-2"/>
                <w:sz w:val="21"/>
                <w:highlight w:val="none"/>
              </w:rPr>
            </w:pP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E3339">
            <w:pPr>
              <w:spacing w:line="232" w:lineRule="auto"/>
              <w:jc w:val="center"/>
              <w:rPr>
                <w:rFonts w:ascii="宋体" w:hAnsi="宋体" w:eastAsia="宋体" w:cs="宋体"/>
                <w:color w:val="auto"/>
                <w:spacing w:val="-2"/>
                <w:sz w:val="21"/>
                <w:highlight w:val="none"/>
              </w:rPr>
            </w:pP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B8B0E">
            <w:pPr>
              <w:spacing w:line="232" w:lineRule="auto"/>
              <w:jc w:val="right"/>
              <w:rPr>
                <w:rFonts w:ascii="宋体" w:hAnsi="宋体" w:eastAsia="宋体" w:cs="宋体"/>
                <w:color w:val="auto"/>
                <w:spacing w:val="-2"/>
                <w:sz w:val="21"/>
                <w:highlight w:val="none"/>
              </w:rPr>
            </w:pPr>
          </w:p>
        </w:tc>
        <w:tc>
          <w:tcPr>
            <w:tcW w:w="11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EEB2EF">
            <w:pPr>
              <w:spacing w:line="232" w:lineRule="auto"/>
              <w:jc w:val="right"/>
              <w:rPr>
                <w:rFonts w:ascii="宋体" w:hAnsi="宋体" w:eastAsia="宋体" w:cs="宋体"/>
                <w:color w:val="auto"/>
                <w:spacing w:val="-2"/>
                <w:sz w:val="21"/>
                <w:highlight w:val="none"/>
              </w:rPr>
            </w:pP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54333D">
            <w:pPr>
              <w:spacing w:line="232" w:lineRule="auto"/>
              <w:jc w:val="right"/>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33B75AC8">
            <w:pPr>
              <w:spacing w:line="232" w:lineRule="auto"/>
              <w:jc w:val="right"/>
              <w:rPr>
                <w:rFonts w:ascii="宋体" w:hAnsi="宋体" w:eastAsia="宋体" w:cs="宋体"/>
                <w:color w:val="auto"/>
                <w:spacing w:val="-2"/>
                <w:sz w:val="21"/>
                <w:highlight w:val="none"/>
              </w:rPr>
            </w:pPr>
          </w:p>
        </w:tc>
      </w:tr>
      <w:tr w14:paraId="71F8B9A8">
        <w:tblPrEx>
          <w:tblCellMar>
            <w:top w:w="0" w:type="dxa"/>
            <w:left w:w="0" w:type="dxa"/>
            <w:bottom w:w="0" w:type="dxa"/>
            <w:right w:w="0" w:type="dxa"/>
          </w:tblCellMar>
        </w:tblPrEx>
        <w:trPr>
          <w:trHeight w:val="444" w:hRule="exact"/>
        </w:trPr>
        <w:tc>
          <w:tcPr>
            <w:tcW w:w="8336" w:type="dxa"/>
            <w:gridSpan w:val="9"/>
            <w:tcBorders>
              <w:top w:val="single" w:color="000000" w:sz="4" w:space="0"/>
              <w:left w:val="single" w:color="000000" w:sz="10" w:space="0"/>
              <w:bottom w:val="single" w:color="000000" w:sz="4" w:space="0"/>
              <w:right w:val="single" w:color="000000" w:sz="4" w:space="0"/>
            </w:tcBorders>
            <w:shd w:val="clear" w:color="auto" w:fill="auto"/>
            <w:vAlign w:val="center"/>
          </w:tcPr>
          <w:p w14:paraId="67D5E10C">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本页小计</w:t>
            </w:r>
          </w:p>
        </w:tc>
        <w:tc>
          <w:tcPr>
            <w:tcW w:w="1141" w:type="dxa"/>
            <w:gridSpan w:val="2"/>
            <w:tcBorders>
              <w:top w:val="single" w:color="000000" w:sz="4" w:space="0"/>
              <w:left w:val="single" w:color="000000" w:sz="4" w:space="0"/>
              <w:bottom w:val="single" w:color="000000" w:sz="4" w:space="0"/>
              <w:right w:val="single" w:color="000000" w:sz="4" w:space="0"/>
            </w:tcBorders>
            <w:shd w:val="clear" w:color="auto" w:fill="auto"/>
          </w:tcPr>
          <w:p w14:paraId="4E777936">
            <w:pPr>
              <w:spacing w:line="232" w:lineRule="auto"/>
              <w:rPr>
                <w:rFonts w:ascii="宋体" w:hAnsi="宋体" w:eastAsia="宋体" w:cs="宋体"/>
                <w:color w:val="auto"/>
                <w:spacing w:val="-2"/>
                <w:sz w:val="21"/>
                <w:highlight w:val="none"/>
              </w:rPr>
            </w:pPr>
          </w:p>
        </w:tc>
        <w:tc>
          <w:tcPr>
            <w:tcW w:w="969" w:type="dxa"/>
            <w:tcBorders>
              <w:top w:val="single" w:color="000000" w:sz="4" w:space="0"/>
              <w:left w:val="single" w:color="000000" w:sz="4" w:space="0"/>
              <w:bottom w:val="single" w:color="000000" w:sz="4" w:space="0"/>
              <w:right w:val="single" w:color="000000" w:sz="10" w:space="0"/>
            </w:tcBorders>
            <w:shd w:val="clear" w:color="auto" w:fill="auto"/>
          </w:tcPr>
          <w:p w14:paraId="164911ED">
            <w:pPr>
              <w:spacing w:line="232" w:lineRule="auto"/>
              <w:rPr>
                <w:rFonts w:ascii="宋体" w:hAnsi="宋体" w:eastAsia="宋体" w:cs="宋体"/>
                <w:color w:val="auto"/>
                <w:spacing w:val="-2"/>
                <w:sz w:val="21"/>
                <w:highlight w:val="none"/>
              </w:rPr>
            </w:pPr>
          </w:p>
        </w:tc>
      </w:tr>
    </w:tbl>
    <w:p w14:paraId="47C3EF03">
      <w:pPr>
        <w:rPr>
          <w:color w:val="auto"/>
          <w:highlight w:val="none"/>
        </w:rPr>
        <w:sectPr>
          <w:pgSz w:w="11906" w:h="16838"/>
          <w:pgMar w:top="567" w:right="567" w:bottom="630" w:left="850" w:header="567" w:footer="630" w:gutter="0"/>
          <w:cols w:space="720" w:num="1"/>
        </w:sectPr>
      </w:pPr>
    </w:p>
    <w:tbl>
      <w:tblPr>
        <w:tblStyle w:val="17"/>
        <w:tblW w:w="10033" w:type="dxa"/>
        <w:tblInd w:w="0" w:type="dxa"/>
        <w:tblLayout w:type="fixed"/>
        <w:tblCellMar>
          <w:top w:w="0" w:type="dxa"/>
          <w:left w:w="0" w:type="dxa"/>
          <w:bottom w:w="0" w:type="dxa"/>
          <w:right w:w="0" w:type="dxa"/>
        </w:tblCellMar>
      </w:tblPr>
      <w:tblGrid>
        <w:gridCol w:w="544"/>
        <w:gridCol w:w="1086"/>
        <w:gridCol w:w="1338"/>
        <w:gridCol w:w="2247"/>
        <w:gridCol w:w="359"/>
        <w:gridCol w:w="644"/>
        <w:gridCol w:w="975"/>
        <w:gridCol w:w="974"/>
        <w:gridCol w:w="186"/>
        <w:gridCol w:w="825"/>
        <w:gridCol w:w="855"/>
      </w:tblGrid>
      <w:tr w14:paraId="5D6E2D43">
        <w:tblPrEx>
          <w:tblCellMar>
            <w:top w:w="0" w:type="dxa"/>
            <w:left w:w="0" w:type="dxa"/>
            <w:bottom w:w="0" w:type="dxa"/>
            <w:right w:w="0" w:type="dxa"/>
          </w:tblCellMar>
        </w:tblPrEx>
        <w:trPr>
          <w:trHeight w:val="673" w:hRule="exact"/>
        </w:trPr>
        <w:tc>
          <w:tcPr>
            <w:tcW w:w="10033" w:type="dxa"/>
            <w:gridSpan w:val="11"/>
            <w:shd w:val="clear" w:color="auto" w:fill="auto"/>
            <w:vAlign w:val="center"/>
          </w:tcPr>
          <w:p w14:paraId="3A2F825D">
            <w:pPr>
              <w:spacing w:line="232" w:lineRule="auto"/>
              <w:jc w:val="center"/>
              <w:rPr>
                <w:rFonts w:hint="eastAsia" w:ascii="宋体" w:hAnsi="宋体" w:eastAsia="宋体" w:cs="宋体"/>
                <w:b/>
                <w:color w:val="auto"/>
                <w:spacing w:val="-2"/>
                <w:sz w:val="32"/>
                <w:highlight w:val="none"/>
                <w:lang w:eastAsia="zh-CN"/>
              </w:rPr>
            </w:pPr>
            <w:r>
              <w:rPr>
                <w:rFonts w:hint="eastAsia" w:ascii="宋体" w:hAnsi="宋体" w:eastAsia="宋体" w:cs="宋体"/>
                <w:b/>
                <w:color w:val="auto"/>
                <w:spacing w:val="-2"/>
                <w:sz w:val="32"/>
                <w:highlight w:val="none"/>
                <w:lang w:eastAsia="zh-CN"/>
              </w:rPr>
              <w:t>全费用工程量清单与计价表</w:t>
            </w:r>
          </w:p>
        </w:tc>
      </w:tr>
      <w:tr w14:paraId="0D802083">
        <w:tblPrEx>
          <w:tblCellMar>
            <w:top w:w="0" w:type="dxa"/>
            <w:left w:w="0" w:type="dxa"/>
            <w:bottom w:w="0" w:type="dxa"/>
            <w:right w:w="0" w:type="dxa"/>
          </w:tblCellMar>
        </w:tblPrEx>
        <w:trPr>
          <w:trHeight w:val="344" w:hRule="exact"/>
        </w:trPr>
        <w:tc>
          <w:tcPr>
            <w:tcW w:w="5215" w:type="dxa"/>
            <w:gridSpan w:val="4"/>
            <w:tcBorders>
              <w:bottom w:val="single" w:color="000000" w:sz="10" w:space="0"/>
            </w:tcBorders>
            <w:shd w:val="clear" w:color="auto" w:fill="auto"/>
            <w:vAlign w:val="center"/>
          </w:tcPr>
          <w:p w14:paraId="6AA840FE">
            <w:pPr>
              <w:spacing w:line="232" w:lineRule="auto"/>
              <w:rPr>
                <w:rFonts w:ascii="黑体" w:hAnsi="黑体" w:eastAsia="黑体" w:cs="黑体"/>
                <w:color w:val="auto"/>
                <w:spacing w:val="-2"/>
                <w:sz w:val="21"/>
                <w:highlight w:val="none"/>
              </w:rPr>
            </w:pPr>
            <w:r>
              <w:rPr>
                <w:rFonts w:ascii="黑体" w:hAnsi="黑体" w:eastAsia="黑体" w:cs="黑体"/>
                <w:color w:val="auto"/>
                <w:spacing w:val="-2"/>
                <w:sz w:val="21"/>
                <w:highlight w:val="none"/>
              </w:rPr>
              <w:t>工程名称：土建</w:t>
            </w:r>
          </w:p>
        </w:tc>
        <w:tc>
          <w:tcPr>
            <w:tcW w:w="3138" w:type="dxa"/>
            <w:gridSpan w:val="5"/>
            <w:tcBorders>
              <w:bottom w:val="single" w:color="000000" w:sz="10" w:space="0"/>
            </w:tcBorders>
            <w:shd w:val="clear" w:color="auto" w:fill="auto"/>
            <w:vAlign w:val="center"/>
          </w:tcPr>
          <w:p w14:paraId="20C2C242">
            <w:pPr>
              <w:spacing w:line="232" w:lineRule="auto"/>
              <w:rPr>
                <w:rFonts w:ascii="黑体" w:hAnsi="黑体" w:eastAsia="黑体" w:cs="黑体"/>
                <w:color w:val="auto"/>
                <w:spacing w:val="-2"/>
                <w:sz w:val="21"/>
                <w:highlight w:val="none"/>
              </w:rPr>
            </w:pPr>
            <w:r>
              <w:rPr>
                <w:rFonts w:ascii="黑体" w:hAnsi="黑体" w:eastAsia="黑体" w:cs="黑体"/>
                <w:color w:val="auto"/>
                <w:spacing w:val="-2"/>
                <w:sz w:val="21"/>
                <w:highlight w:val="none"/>
              </w:rPr>
              <w:t>标段：</w:t>
            </w:r>
          </w:p>
        </w:tc>
        <w:tc>
          <w:tcPr>
            <w:tcW w:w="1680" w:type="dxa"/>
            <w:gridSpan w:val="2"/>
            <w:tcBorders>
              <w:bottom w:val="single" w:color="000000" w:sz="10" w:space="0"/>
            </w:tcBorders>
            <w:shd w:val="clear" w:color="auto" w:fill="auto"/>
            <w:vAlign w:val="center"/>
          </w:tcPr>
          <w:p w14:paraId="5C7F5B9B">
            <w:pPr>
              <w:spacing w:line="232" w:lineRule="auto"/>
              <w:jc w:val="right"/>
              <w:rPr>
                <w:rFonts w:ascii="黑体" w:hAnsi="黑体" w:eastAsia="黑体" w:cs="黑体"/>
                <w:color w:val="auto"/>
                <w:spacing w:val="-2"/>
                <w:sz w:val="21"/>
                <w:highlight w:val="none"/>
              </w:rPr>
            </w:pPr>
            <w:r>
              <w:rPr>
                <w:rFonts w:ascii="黑体" w:hAnsi="黑体" w:eastAsia="黑体" w:cs="黑体"/>
                <w:color w:val="auto"/>
                <w:spacing w:val="-2"/>
                <w:sz w:val="21"/>
                <w:highlight w:val="none"/>
              </w:rPr>
              <w:t>第1页 共1页</w:t>
            </w:r>
          </w:p>
        </w:tc>
      </w:tr>
      <w:tr w14:paraId="4BA302AB">
        <w:tblPrEx>
          <w:tblCellMar>
            <w:top w:w="0" w:type="dxa"/>
            <w:left w:w="0" w:type="dxa"/>
            <w:bottom w:w="0" w:type="dxa"/>
            <w:right w:w="0" w:type="dxa"/>
          </w:tblCellMar>
        </w:tblPrEx>
        <w:trPr>
          <w:trHeight w:val="301" w:hRule="exact"/>
        </w:trPr>
        <w:tc>
          <w:tcPr>
            <w:tcW w:w="544" w:type="dxa"/>
            <w:vMerge w:val="restart"/>
            <w:tcBorders>
              <w:top w:val="single" w:color="000000" w:sz="10" w:space="0"/>
              <w:left w:val="single" w:color="000000" w:sz="10" w:space="0"/>
              <w:bottom w:val="single" w:color="000000" w:sz="4" w:space="0"/>
              <w:right w:val="single" w:color="000000" w:sz="4" w:space="0"/>
            </w:tcBorders>
            <w:shd w:val="clear" w:color="auto" w:fill="FFFFFF"/>
            <w:vAlign w:val="center"/>
          </w:tcPr>
          <w:p w14:paraId="67A40B4F">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序号</w:t>
            </w:r>
          </w:p>
        </w:tc>
        <w:tc>
          <w:tcPr>
            <w:tcW w:w="1086" w:type="dxa"/>
            <w:vMerge w:val="restart"/>
            <w:tcBorders>
              <w:top w:val="single" w:color="000000" w:sz="10" w:space="0"/>
              <w:left w:val="single" w:color="000000" w:sz="4" w:space="0"/>
              <w:bottom w:val="single" w:color="000000" w:sz="4" w:space="0"/>
              <w:right w:val="single" w:color="000000" w:sz="4" w:space="0"/>
            </w:tcBorders>
            <w:shd w:val="clear" w:color="auto" w:fill="FFFFFF"/>
            <w:vAlign w:val="center"/>
          </w:tcPr>
          <w:p w14:paraId="74BEF955">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项目编码</w:t>
            </w:r>
          </w:p>
        </w:tc>
        <w:tc>
          <w:tcPr>
            <w:tcW w:w="1338" w:type="dxa"/>
            <w:vMerge w:val="restart"/>
            <w:tcBorders>
              <w:top w:val="single" w:color="000000" w:sz="10" w:space="0"/>
              <w:left w:val="single" w:color="000000" w:sz="4" w:space="0"/>
              <w:bottom w:val="single" w:color="000000" w:sz="4" w:space="0"/>
              <w:right w:val="single" w:color="000000" w:sz="4" w:space="0"/>
            </w:tcBorders>
            <w:shd w:val="clear" w:color="auto" w:fill="FFFFFF"/>
            <w:vAlign w:val="center"/>
          </w:tcPr>
          <w:p w14:paraId="166AC117">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项目名称</w:t>
            </w:r>
          </w:p>
        </w:tc>
        <w:tc>
          <w:tcPr>
            <w:tcW w:w="2606" w:type="dxa"/>
            <w:gridSpan w:val="2"/>
            <w:vMerge w:val="restart"/>
            <w:tcBorders>
              <w:top w:val="single" w:color="000000" w:sz="10" w:space="0"/>
              <w:left w:val="single" w:color="000000" w:sz="4" w:space="0"/>
              <w:bottom w:val="single" w:color="000000" w:sz="4" w:space="0"/>
              <w:right w:val="single" w:color="000000" w:sz="4" w:space="0"/>
            </w:tcBorders>
            <w:shd w:val="clear" w:color="auto" w:fill="FFFFFF"/>
            <w:vAlign w:val="center"/>
          </w:tcPr>
          <w:p w14:paraId="2DB5C384">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项目特征描述</w:t>
            </w:r>
          </w:p>
        </w:tc>
        <w:tc>
          <w:tcPr>
            <w:tcW w:w="644" w:type="dxa"/>
            <w:vMerge w:val="restart"/>
            <w:tcBorders>
              <w:top w:val="single" w:color="000000" w:sz="10" w:space="0"/>
              <w:left w:val="single" w:color="000000" w:sz="4" w:space="0"/>
              <w:bottom w:val="single" w:color="000000" w:sz="4" w:space="0"/>
              <w:right w:val="single" w:color="000000" w:sz="4" w:space="0"/>
            </w:tcBorders>
            <w:shd w:val="clear" w:color="auto" w:fill="FFFFFF"/>
            <w:vAlign w:val="center"/>
          </w:tcPr>
          <w:p w14:paraId="16D82A8E">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计量</w:t>
            </w:r>
          </w:p>
          <w:p w14:paraId="795A35C4">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单位</w:t>
            </w:r>
          </w:p>
        </w:tc>
        <w:tc>
          <w:tcPr>
            <w:tcW w:w="975" w:type="dxa"/>
            <w:vMerge w:val="restart"/>
            <w:tcBorders>
              <w:top w:val="single" w:color="000000" w:sz="10" w:space="0"/>
              <w:left w:val="single" w:color="000000" w:sz="4" w:space="0"/>
              <w:bottom w:val="single" w:color="000000" w:sz="4" w:space="0"/>
              <w:right w:val="single" w:color="000000" w:sz="4" w:space="0"/>
            </w:tcBorders>
            <w:shd w:val="clear" w:color="auto" w:fill="FFFFFF"/>
            <w:vAlign w:val="center"/>
          </w:tcPr>
          <w:p w14:paraId="774C66B8">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工程量</w:t>
            </w:r>
          </w:p>
        </w:tc>
        <w:tc>
          <w:tcPr>
            <w:tcW w:w="2840" w:type="dxa"/>
            <w:gridSpan w:val="4"/>
            <w:tcBorders>
              <w:top w:val="single" w:color="000000" w:sz="10" w:space="0"/>
              <w:left w:val="single" w:color="000000" w:sz="4" w:space="0"/>
              <w:bottom w:val="single" w:color="000000" w:sz="4" w:space="0"/>
              <w:right w:val="single" w:color="000000" w:sz="10" w:space="0"/>
            </w:tcBorders>
            <w:shd w:val="clear" w:color="auto" w:fill="FFFFFF"/>
            <w:vAlign w:val="center"/>
          </w:tcPr>
          <w:p w14:paraId="56A7BF38">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金额（元）</w:t>
            </w:r>
          </w:p>
        </w:tc>
      </w:tr>
      <w:tr w14:paraId="39D458DB">
        <w:tblPrEx>
          <w:tblCellMar>
            <w:top w:w="0" w:type="dxa"/>
            <w:left w:w="0" w:type="dxa"/>
            <w:bottom w:w="0" w:type="dxa"/>
            <w:right w:w="0" w:type="dxa"/>
          </w:tblCellMar>
        </w:tblPrEx>
        <w:trPr>
          <w:trHeight w:val="301" w:hRule="exact"/>
        </w:trPr>
        <w:tc>
          <w:tcPr>
            <w:tcW w:w="544" w:type="dxa"/>
            <w:vMerge w:val="continue"/>
            <w:tcBorders>
              <w:top w:val="single" w:color="000000" w:sz="10" w:space="0"/>
              <w:left w:val="single" w:color="000000" w:sz="10" w:space="0"/>
              <w:bottom w:val="single" w:color="000000" w:sz="4" w:space="0"/>
              <w:right w:val="single" w:color="000000" w:sz="4" w:space="0"/>
            </w:tcBorders>
            <w:shd w:val="clear" w:color="auto" w:fill="FFFFFF"/>
            <w:vAlign w:val="center"/>
          </w:tcPr>
          <w:p w14:paraId="33F38FE5">
            <w:pPr>
              <w:rPr>
                <w:color w:val="auto"/>
                <w:highlight w:val="none"/>
              </w:rPr>
            </w:pPr>
          </w:p>
        </w:tc>
        <w:tc>
          <w:tcPr>
            <w:tcW w:w="1086"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2DAFDD6A">
            <w:pPr>
              <w:rPr>
                <w:color w:val="auto"/>
                <w:highlight w:val="none"/>
              </w:rPr>
            </w:pPr>
          </w:p>
        </w:tc>
        <w:tc>
          <w:tcPr>
            <w:tcW w:w="1338"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4F333C1A">
            <w:pPr>
              <w:rPr>
                <w:color w:val="auto"/>
                <w:highlight w:val="none"/>
              </w:rPr>
            </w:pPr>
          </w:p>
        </w:tc>
        <w:tc>
          <w:tcPr>
            <w:tcW w:w="2606" w:type="dxa"/>
            <w:gridSpan w:val="2"/>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2BCD58DE">
            <w:pPr>
              <w:rPr>
                <w:color w:val="auto"/>
                <w:highlight w:val="none"/>
              </w:rPr>
            </w:pPr>
          </w:p>
        </w:tc>
        <w:tc>
          <w:tcPr>
            <w:tcW w:w="644"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32ABD1E0">
            <w:pPr>
              <w:rPr>
                <w:color w:val="auto"/>
                <w:highlight w:val="none"/>
              </w:rPr>
            </w:pPr>
          </w:p>
        </w:tc>
        <w:tc>
          <w:tcPr>
            <w:tcW w:w="975"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1D2C6F9A">
            <w:pPr>
              <w:rPr>
                <w:color w:val="auto"/>
                <w:highlight w:val="none"/>
              </w:rPr>
            </w:pPr>
          </w:p>
        </w:tc>
        <w:tc>
          <w:tcPr>
            <w:tcW w:w="97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5FA5E43">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综合单价</w:t>
            </w:r>
          </w:p>
        </w:tc>
        <w:tc>
          <w:tcPr>
            <w:tcW w:w="1011"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4BBF935">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合价</w:t>
            </w:r>
          </w:p>
        </w:tc>
        <w:tc>
          <w:tcPr>
            <w:tcW w:w="855" w:type="dxa"/>
            <w:tcBorders>
              <w:top w:val="single" w:color="000000" w:sz="4" w:space="0"/>
              <w:left w:val="single" w:color="000000" w:sz="4" w:space="0"/>
              <w:bottom w:val="single" w:color="000000" w:sz="4" w:space="0"/>
              <w:right w:val="single" w:color="000000" w:sz="10" w:space="0"/>
            </w:tcBorders>
            <w:shd w:val="clear" w:color="auto" w:fill="FFFFFF"/>
            <w:vAlign w:val="center"/>
          </w:tcPr>
          <w:p w14:paraId="0FF6A198">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其中</w:t>
            </w:r>
          </w:p>
        </w:tc>
      </w:tr>
      <w:tr w14:paraId="71A42CE8">
        <w:tblPrEx>
          <w:tblCellMar>
            <w:top w:w="0" w:type="dxa"/>
            <w:left w:w="0" w:type="dxa"/>
            <w:bottom w:w="0" w:type="dxa"/>
            <w:right w:w="0" w:type="dxa"/>
          </w:tblCellMar>
        </w:tblPrEx>
        <w:trPr>
          <w:trHeight w:val="287" w:hRule="exact"/>
        </w:trPr>
        <w:tc>
          <w:tcPr>
            <w:tcW w:w="544" w:type="dxa"/>
            <w:vMerge w:val="continue"/>
            <w:tcBorders>
              <w:top w:val="single" w:color="000000" w:sz="10" w:space="0"/>
              <w:left w:val="single" w:color="000000" w:sz="10" w:space="0"/>
              <w:bottom w:val="single" w:color="000000" w:sz="4" w:space="0"/>
              <w:right w:val="single" w:color="000000" w:sz="4" w:space="0"/>
            </w:tcBorders>
            <w:shd w:val="clear" w:color="auto" w:fill="FFFFFF"/>
            <w:vAlign w:val="center"/>
          </w:tcPr>
          <w:p w14:paraId="53DCC1ED">
            <w:pPr>
              <w:rPr>
                <w:color w:val="auto"/>
                <w:highlight w:val="none"/>
              </w:rPr>
            </w:pPr>
          </w:p>
        </w:tc>
        <w:tc>
          <w:tcPr>
            <w:tcW w:w="1086"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69E1B72F">
            <w:pPr>
              <w:rPr>
                <w:color w:val="auto"/>
                <w:highlight w:val="none"/>
              </w:rPr>
            </w:pPr>
          </w:p>
        </w:tc>
        <w:tc>
          <w:tcPr>
            <w:tcW w:w="1338"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7188208D">
            <w:pPr>
              <w:rPr>
                <w:color w:val="auto"/>
                <w:highlight w:val="none"/>
              </w:rPr>
            </w:pPr>
          </w:p>
        </w:tc>
        <w:tc>
          <w:tcPr>
            <w:tcW w:w="2606" w:type="dxa"/>
            <w:gridSpan w:val="2"/>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565F497D">
            <w:pPr>
              <w:rPr>
                <w:color w:val="auto"/>
                <w:highlight w:val="none"/>
              </w:rPr>
            </w:pPr>
          </w:p>
        </w:tc>
        <w:tc>
          <w:tcPr>
            <w:tcW w:w="644"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6F1DFF6C">
            <w:pPr>
              <w:rPr>
                <w:color w:val="auto"/>
                <w:highlight w:val="none"/>
              </w:rPr>
            </w:pPr>
          </w:p>
        </w:tc>
        <w:tc>
          <w:tcPr>
            <w:tcW w:w="975"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742FF6E7">
            <w:pPr>
              <w:rPr>
                <w:color w:val="auto"/>
                <w:highlight w:val="none"/>
              </w:rPr>
            </w:pPr>
          </w:p>
        </w:tc>
        <w:tc>
          <w:tcPr>
            <w:tcW w:w="9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6CCD4B7">
            <w:pPr>
              <w:rPr>
                <w:color w:val="auto"/>
                <w:highlight w:val="none"/>
              </w:rPr>
            </w:pPr>
          </w:p>
        </w:tc>
        <w:tc>
          <w:tcPr>
            <w:tcW w:w="1011"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259DD3B">
            <w:pPr>
              <w:rPr>
                <w:color w:val="auto"/>
                <w:highlight w:val="none"/>
              </w:rPr>
            </w:pPr>
          </w:p>
        </w:tc>
        <w:tc>
          <w:tcPr>
            <w:tcW w:w="855" w:type="dxa"/>
            <w:tcBorders>
              <w:top w:val="single" w:color="000000" w:sz="4" w:space="0"/>
              <w:left w:val="single" w:color="000000" w:sz="4" w:space="0"/>
              <w:bottom w:val="single" w:color="000000" w:sz="4" w:space="0"/>
              <w:right w:val="single" w:color="000000" w:sz="10" w:space="0"/>
            </w:tcBorders>
            <w:shd w:val="clear" w:color="auto" w:fill="FFFFFF"/>
            <w:vAlign w:val="center"/>
          </w:tcPr>
          <w:p w14:paraId="53A26CB0">
            <w:pPr>
              <w:spacing w:line="232" w:lineRule="auto"/>
              <w:jc w:val="center"/>
              <w:rPr>
                <w:rFonts w:ascii="黑体" w:hAnsi="黑体" w:eastAsia="黑体" w:cs="黑体"/>
                <w:color w:val="auto"/>
                <w:spacing w:val="-2"/>
                <w:sz w:val="21"/>
                <w:highlight w:val="none"/>
              </w:rPr>
            </w:pPr>
            <w:r>
              <w:rPr>
                <w:rFonts w:ascii="黑体" w:hAnsi="黑体" w:eastAsia="黑体" w:cs="黑体"/>
                <w:color w:val="auto"/>
                <w:spacing w:val="-2"/>
                <w:sz w:val="21"/>
                <w:highlight w:val="none"/>
              </w:rPr>
              <w:t>暂估价</w:t>
            </w:r>
          </w:p>
        </w:tc>
      </w:tr>
      <w:tr w14:paraId="4039A09D">
        <w:tblPrEx>
          <w:tblCellMar>
            <w:top w:w="0" w:type="dxa"/>
            <w:left w:w="0" w:type="dxa"/>
            <w:bottom w:w="0" w:type="dxa"/>
            <w:right w:w="0" w:type="dxa"/>
          </w:tblCellMar>
        </w:tblPrEx>
        <w:trPr>
          <w:trHeight w:val="1432" w:hRule="exact"/>
        </w:trPr>
        <w:tc>
          <w:tcPr>
            <w:tcW w:w="544" w:type="dxa"/>
            <w:vMerge w:val="restart"/>
            <w:tcBorders>
              <w:top w:val="single" w:color="000000" w:sz="4" w:space="0"/>
              <w:left w:val="single" w:color="000000" w:sz="10" w:space="0"/>
              <w:bottom w:val="single" w:color="000000" w:sz="4" w:space="0"/>
              <w:right w:val="single" w:color="000000" w:sz="4" w:space="0"/>
            </w:tcBorders>
            <w:shd w:val="clear" w:color="auto" w:fill="auto"/>
            <w:vAlign w:val="center"/>
          </w:tcPr>
          <w:p w14:paraId="4A969AB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w:t>
            </w:r>
          </w:p>
        </w:tc>
        <w:tc>
          <w:tcPr>
            <w:tcW w:w="10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460BAE">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040504001002</w:t>
            </w:r>
          </w:p>
        </w:tc>
        <w:tc>
          <w:tcPr>
            <w:tcW w:w="13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5B28A1">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现浇井（全砼）</w:t>
            </w:r>
          </w:p>
        </w:tc>
        <w:tc>
          <w:tcPr>
            <w:tcW w:w="260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350F8C">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1.名称</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现浇</w:t>
            </w:r>
            <w:r>
              <w:rPr>
                <w:rFonts w:hint="eastAsia" w:ascii="宋体" w:hAnsi="宋体" w:cs="宋体"/>
                <w:color w:val="auto"/>
                <w:spacing w:val="-2"/>
                <w:sz w:val="21"/>
                <w:highlight w:val="none"/>
                <w:lang w:eastAsia="zh-CN"/>
              </w:rPr>
              <w:t>四眼</w:t>
            </w:r>
            <w:r>
              <w:rPr>
                <w:rFonts w:ascii="宋体" w:hAnsi="宋体" w:eastAsia="宋体" w:cs="宋体"/>
                <w:color w:val="auto"/>
                <w:spacing w:val="-2"/>
                <w:sz w:val="21"/>
                <w:highlight w:val="none"/>
              </w:rPr>
              <w:t>电缆井</w:t>
            </w:r>
          </w:p>
          <w:p w14:paraId="20188ACF">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2.采用C15垫层，C25现浇混凝土</w:t>
            </w:r>
          </w:p>
          <w:p w14:paraId="5F5DA251">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3.钢筋的净保护层厚度不小于25mm。</w:t>
            </w:r>
          </w:p>
          <w:p w14:paraId="774E4A1C">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4.井内壁用1:2水泥沙浆抹平</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排管口至井内壁部位做成喇叭口状。</w:t>
            </w:r>
          </w:p>
          <w:p w14:paraId="6AD737C6">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5.电缆敷设完毕后</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电缆与管口之间的空隙用防水防火材料封堵。</w:t>
            </w:r>
          </w:p>
          <w:p w14:paraId="481D7F77">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6.工作井上方地面设置电缆路径标识块</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并标明电缆路径方向。</w:t>
            </w:r>
          </w:p>
          <w:p w14:paraId="43ECB88D">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7.工作井长度根据电缆盖板数量计算。</w:t>
            </w:r>
          </w:p>
          <w:p w14:paraId="616ED1C8">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8.工作井深度可根据实际需要进行调整。</w:t>
            </w:r>
          </w:p>
          <w:p w14:paraId="74D1CC27">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9.防盗高强铸铁盖板承载力应不低于50t。</w:t>
            </w:r>
          </w:p>
          <w:p w14:paraId="7E0135F2">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10.含挖填土方，具体做法详见现浇四页电缆井施工图</w:t>
            </w:r>
          </w:p>
        </w:tc>
        <w:tc>
          <w:tcPr>
            <w:tcW w:w="64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8C5C90">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座</w:t>
            </w:r>
          </w:p>
        </w:tc>
        <w:tc>
          <w:tcPr>
            <w:tcW w:w="9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1C546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6</w:t>
            </w:r>
          </w:p>
        </w:tc>
        <w:tc>
          <w:tcPr>
            <w:tcW w:w="9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1D0E84">
            <w:pPr>
              <w:spacing w:line="232" w:lineRule="auto"/>
              <w:jc w:val="right"/>
              <w:rPr>
                <w:rFonts w:ascii="宋体" w:hAnsi="宋体" w:eastAsia="宋体" w:cs="宋体"/>
                <w:color w:val="auto"/>
                <w:spacing w:val="-2"/>
                <w:sz w:val="21"/>
                <w:highlight w:val="none"/>
              </w:rPr>
            </w:pPr>
          </w:p>
        </w:tc>
        <w:tc>
          <w:tcPr>
            <w:tcW w:w="101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FEF3BB">
            <w:pPr>
              <w:spacing w:line="232" w:lineRule="auto"/>
              <w:jc w:val="right"/>
              <w:rPr>
                <w:rFonts w:ascii="宋体" w:hAnsi="宋体" w:eastAsia="宋体" w:cs="宋体"/>
                <w:color w:val="auto"/>
                <w:spacing w:val="-2"/>
                <w:sz w:val="21"/>
                <w:highlight w:val="none"/>
              </w:rPr>
            </w:pPr>
          </w:p>
        </w:tc>
        <w:tc>
          <w:tcPr>
            <w:tcW w:w="855" w:type="dxa"/>
            <w:vMerge w:val="restart"/>
            <w:tcBorders>
              <w:top w:val="single" w:color="000000" w:sz="4" w:space="0"/>
              <w:left w:val="single" w:color="000000" w:sz="4" w:space="0"/>
              <w:bottom w:val="single" w:color="000000" w:sz="4" w:space="0"/>
              <w:right w:val="single" w:color="000000" w:sz="10" w:space="0"/>
            </w:tcBorders>
            <w:shd w:val="clear" w:color="auto" w:fill="auto"/>
            <w:vAlign w:val="center"/>
          </w:tcPr>
          <w:p w14:paraId="6DEE5D44">
            <w:pPr>
              <w:spacing w:line="232" w:lineRule="auto"/>
              <w:jc w:val="right"/>
              <w:rPr>
                <w:rFonts w:ascii="宋体" w:hAnsi="宋体" w:eastAsia="宋体" w:cs="宋体"/>
                <w:color w:val="auto"/>
                <w:spacing w:val="-2"/>
                <w:sz w:val="21"/>
                <w:highlight w:val="none"/>
              </w:rPr>
            </w:pPr>
          </w:p>
        </w:tc>
      </w:tr>
      <w:tr w14:paraId="4508104D">
        <w:tblPrEx>
          <w:tblCellMar>
            <w:top w:w="0" w:type="dxa"/>
            <w:left w:w="0" w:type="dxa"/>
            <w:bottom w:w="0" w:type="dxa"/>
            <w:right w:w="0" w:type="dxa"/>
          </w:tblCellMar>
        </w:tblPrEx>
        <w:trPr>
          <w:trHeight w:val="1433" w:hRule="exact"/>
        </w:trPr>
        <w:tc>
          <w:tcPr>
            <w:tcW w:w="544" w:type="dxa"/>
            <w:vMerge w:val="continue"/>
            <w:tcBorders>
              <w:top w:val="single" w:color="000000" w:sz="4" w:space="0"/>
              <w:left w:val="single" w:color="000000" w:sz="10" w:space="0"/>
              <w:bottom w:val="single" w:color="000000" w:sz="4" w:space="0"/>
              <w:right w:val="single" w:color="000000" w:sz="4" w:space="0"/>
            </w:tcBorders>
            <w:shd w:val="clear" w:color="auto" w:fill="auto"/>
            <w:vAlign w:val="center"/>
          </w:tcPr>
          <w:p w14:paraId="25457FC0">
            <w:pPr>
              <w:rPr>
                <w:color w:val="auto"/>
                <w:highlight w:val="none"/>
              </w:rPr>
            </w:pPr>
          </w:p>
        </w:tc>
        <w:tc>
          <w:tcPr>
            <w:tcW w:w="10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911225">
            <w:pPr>
              <w:rPr>
                <w:color w:val="auto"/>
                <w:highlight w:val="none"/>
              </w:rPr>
            </w:pPr>
          </w:p>
        </w:tc>
        <w:tc>
          <w:tcPr>
            <w:tcW w:w="13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35D260">
            <w:pPr>
              <w:rPr>
                <w:color w:val="auto"/>
                <w:highlight w:val="none"/>
              </w:rPr>
            </w:pPr>
          </w:p>
        </w:tc>
        <w:tc>
          <w:tcPr>
            <w:tcW w:w="260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F87C3D">
            <w:pPr>
              <w:rPr>
                <w:color w:val="auto"/>
                <w:highlight w:val="none"/>
              </w:rPr>
            </w:pPr>
          </w:p>
        </w:tc>
        <w:tc>
          <w:tcPr>
            <w:tcW w:w="6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DD2765">
            <w:pPr>
              <w:rPr>
                <w:color w:val="auto"/>
                <w:highlight w:val="none"/>
              </w:rPr>
            </w:pPr>
          </w:p>
        </w:tc>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06E888">
            <w:pPr>
              <w:jc w:val="center"/>
              <w:rPr>
                <w:color w:val="auto"/>
                <w:highlight w:val="none"/>
              </w:rPr>
            </w:pPr>
          </w:p>
        </w:tc>
        <w:tc>
          <w:tcPr>
            <w:tcW w:w="9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7A65AE">
            <w:pPr>
              <w:rPr>
                <w:color w:val="auto"/>
                <w:highlight w:val="none"/>
              </w:rPr>
            </w:pPr>
          </w:p>
        </w:tc>
        <w:tc>
          <w:tcPr>
            <w:tcW w:w="101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CB6865">
            <w:pPr>
              <w:rPr>
                <w:color w:val="auto"/>
                <w:highlight w:val="none"/>
              </w:rPr>
            </w:pPr>
          </w:p>
        </w:tc>
        <w:tc>
          <w:tcPr>
            <w:tcW w:w="855" w:type="dxa"/>
            <w:vMerge w:val="continue"/>
            <w:tcBorders>
              <w:top w:val="single" w:color="000000" w:sz="4" w:space="0"/>
              <w:left w:val="single" w:color="000000" w:sz="4" w:space="0"/>
              <w:bottom w:val="single" w:color="000000" w:sz="4" w:space="0"/>
              <w:right w:val="single" w:color="000000" w:sz="10" w:space="0"/>
            </w:tcBorders>
            <w:shd w:val="clear" w:color="auto" w:fill="auto"/>
            <w:vAlign w:val="center"/>
          </w:tcPr>
          <w:p w14:paraId="3245A656">
            <w:pPr>
              <w:rPr>
                <w:color w:val="auto"/>
                <w:highlight w:val="none"/>
              </w:rPr>
            </w:pPr>
          </w:p>
        </w:tc>
      </w:tr>
      <w:tr w14:paraId="78D2CD58">
        <w:tblPrEx>
          <w:tblCellMar>
            <w:top w:w="0" w:type="dxa"/>
            <w:left w:w="0" w:type="dxa"/>
            <w:bottom w:w="0" w:type="dxa"/>
            <w:right w:w="0" w:type="dxa"/>
          </w:tblCellMar>
        </w:tblPrEx>
        <w:trPr>
          <w:trHeight w:val="1433" w:hRule="exact"/>
        </w:trPr>
        <w:tc>
          <w:tcPr>
            <w:tcW w:w="544" w:type="dxa"/>
            <w:vMerge w:val="continue"/>
            <w:tcBorders>
              <w:top w:val="single" w:color="000000" w:sz="4" w:space="0"/>
              <w:left w:val="single" w:color="000000" w:sz="10" w:space="0"/>
              <w:bottom w:val="single" w:color="000000" w:sz="4" w:space="0"/>
              <w:right w:val="single" w:color="000000" w:sz="4" w:space="0"/>
            </w:tcBorders>
            <w:shd w:val="clear" w:color="auto" w:fill="auto"/>
            <w:vAlign w:val="center"/>
          </w:tcPr>
          <w:p w14:paraId="2773B264">
            <w:pPr>
              <w:rPr>
                <w:color w:val="auto"/>
                <w:highlight w:val="none"/>
              </w:rPr>
            </w:pPr>
          </w:p>
        </w:tc>
        <w:tc>
          <w:tcPr>
            <w:tcW w:w="10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5C9804">
            <w:pPr>
              <w:rPr>
                <w:color w:val="auto"/>
                <w:highlight w:val="none"/>
              </w:rPr>
            </w:pPr>
          </w:p>
        </w:tc>
        <w:tc>
          <w:tcPr>
            <w:tcW w:w="13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0CEEB7">
            <w:pPr>
              <w:rPr>
                <w:color w:val="auto"/>
                <w:highlight w:val="none"/>
              </w:rPr>
            </w:pPr>
          </w:p>
        </w:tc>
        <w:tc>
          <w:tcPr>
            <w:tcW w:w="260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8CED9F">
            <w:pPr>
              <w:rPr>
                <w:color w:val="auto"/>
                <w:highlight w:val="none"/>
              </w:rPr>
            </w:pPr>
          </w:p>
        </w:tc>
        <w:tc>
          <w:tcPr>
            <w:tcW w:w="6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F78D3">
            <w:pPr>
              <w:rPr>
                <w:color w:val="auto"/>
                <w:highlight w:val="none"/>
              </w:rPr>
            </w:pPr>
          </w:p>
        </w:tc>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78725">
            <w:pPr>
              <w:jc w:val="center"/>
              <w:rPr>
                <w:color w:val="auto"/>
                <w:highlight w:val="none"/>
              </w:rPr>
            </w:pPr>
          </w:p>
        </w:tc>
        <w:tc>
          <w:tcPr>
            <w:tcW w:w="9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D59D7F">
            <w:pPr>
              <w:rPr>
                <w:color w:val="auto"/>
                <w:highlight w:val="none"/>
              </w:rPr>
            </w:pPr>
          </w:p>
        </w:tc>
        <w:tc>
          <w:tcPr>
            <w:tcW w:w="101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6DF315">
            <w:pPr>
              <w:rPr>
                <w:color w:val="auto"/>
                <w:highlight w:val="none"/>
              </w:rPr>
            </w:pPr>
          </w:p>
        </w:tc>
        <w:tc>
          <w:tcPr>
            <w:tcW w:w="855" w:type="dxa"/>
            <w:vMerge w:val="continue"/>
            <w:tcBorders>
              <w:top w:val="single" w:color="000000" w:sz="4" w:space="0"/>
              <w:left w:val="single" w:color="000000" w:sz="4" w:space="0"/>
              <w:bottom w:val="single" w:color="000000" w:sz="4" w:space="0"/>
              <w:right w:val="single" w:color="000000" w:sz="10" w:space="0"/>
            </w:tcBorders>
            <w:shd w:val="clear" w:color="auto" w:fill="auto"/>
            <w:vAlign w:val="center"/>
          </w:tcPr>
          <w:p w14:paraId="3130550B">
            <w:pPr>
              <w:rPr>
                <w:color w:val="auto"/>
                <w:highlight w:val="none"/>
              </w:rPr>
            </w:pPr>
          </w:p>
        </w:tc>
      </w:tr>
      <w:tr w14:paraId="58284090">
        <w:tblPrEx>
          <w:tblCellMar>
            <w:top w:w="0" w:type="dxa"/>
            <w:left w:w="0" w:type="dxa"/>
            <w:bottom w:w="0" w:type="dxa"/>
            <w:right w:w="0" w:type="dxa"/>
          </w:tblCellMar>
        </w:tblPrEx>
        <w:trPr>
          <w:trHeight w:val="1304" w:hRule="exact"/>
        </w:trPr>
        <w:tc>
          <w:tcPr>
            <w:tcW w:w="544" w:type="dxa"/>
            <w:vMerge w:val="continue"/>
            <w:tcBorders>
              <w:top w:val="single" w:color="000000" w:sz="4" w:space="0"/>
              <w:left w:val="single" w:color="000000" w:sz="10" w:space="0"/>
              <w:bottom w:val="single" w:color="000000" w:sz="4" w:space="0"/>
              <w:right w:val="single" w:color="000000" w:sz="4" w:space="0"/>
            </w:tcBorders>
            <w:shd w:val="clear" w:color="auto" w:fill="auto"/>
            <w:vAlign w:val="center"/>
          </w:tcPr>
          <w:p w14:paraId="3F03B2ED">
            <w:pPr>
              <w:rPr>
                <w:color w:val="auto"/>
                <w:highlight w:val="none"/>
              </w:rPr>
            </w:pPr>
          </w:p>
        </w:tc>
        <w:tc>
          <w:tcPr>
            <w:tcW w:w="10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D66F3">
            <w:pPr>
              <w:rPr>
                <w:color w:val="auto"/>
                <w:highlight w:val="none"/>
              </w:rPr>
            </w:pPr>
          </w:p>
        </w:tc>
        <w:tc>
          <w:tcPr>
            <w:tcW w:w="13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7282FB">
            <w:pPr>
              <w:rPr>
                <w:color w:val="auto"/>
                <w:highlight w:val="none"/>
              </w:rPr>
            </w:pPr>
          </w:p>
        </w:tc>
        <w:tc>
          <w:tcPr>
            <w:tcW w:w="260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292025">
            <w:pPr>
              <w:rPr>
                <w:color w:val="auto"/>
                <w:highlight w:val="none"/>
              </w:rPr>
            </w:pPr>
          </w:p>
        </w:tc>
        <w:tc>
          <w:tcPr>
            <w:tcW w:w="6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7EB52B">
            <w:pPr>
              <w:rPr>
                <w:color w:val="auto"/>
                <w:highlight w:val="none"/>
              </w:rPr>
            </w:pPr>
          </w:p>
        </w:tc>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A85B20">
            <w:pPr>
              <w:jc w:val="center"/>
              <w:rPr>
                <w:color w:val="auto"/>
                <w:highlight w:val="none"/>
              </w:rPr>
            </w:pPr>
          </w:p>
        </w:tc>
        <w:tc>
          <w:tcPr>
            <w:tcW w:w="9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228804">
            <w:pPr>
              <w:rPr>
                <w:color w:val="auto"/>
                <w:highlight w:val="none"/>
              </w:rPr>
            </w:pPr>
          </w:p>
        </w:tc>
        <w:tc>
          <w:tcPr>
            <w:tcW w:w="101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8B2AD4">
            <w:pPr>
              <w:rPr>
                <w:color w:val="auto"/>
                <w:highlight w:val="none"/>
              </w:rPr>
            </w:pPr>
          </w:p>
        </w:tc>
        <w:tc>
          <w:tcPr>
            <w:tcW w:w="855" w:type="dxa"/>
            <w:vMerge w:val="continue"/>
            <w:tcBorders>
              <w:top w:val="single" w:color="000000" w:sz="4" w:space="0"/>
              <w:left w:val="single" w:color="000000" w:sz="4" w:space="0"/>
              <w:bottom w:val="single" w:color="000000" w:sz="4" w:space="0"/>
              <w:right w:val="single" w:color="000000" w:sz="10" w:space="0"/>
            </w:tcBorders>
            <w:shd w:val="clear" w:color="auto" w:fill="auto"/>
            <w:vAlign w:val="center"/>
          </w:tcPr>
          <w:p w14:paraId="222EB51A">
            <w:pPr>
              <w:rPr>
                <w:color w:val="auto"/>
                <w:highlight w:val="none"/>
              </w:rPr>
            </w:pPr>
          </w:p>
        </w:tc>
      </w:tr>
      <w:tr w14:paraId="13E570E0">
        <w:tblPrEx>
          <w:tblCellMar>
            <w:top w:w="0" w:type="dxa"/>
            <w:left w:w="0" w:type="dxa"/>
            <w:bottom w:w="0" w:type="dxa"/>
            <w:right w:w="0" w:type="dxa"/>
          </w:tblCellMar>
        </w:tblPrEx>
        <w:trPr>
          <w:trHeight w:val="635" w:hRule="exact"/>
        </w:trPr>
        <w:tc>
          <w:tcPr>
            <w:tcW w:w="544" w:type="dxa"/>
            <w:vMerge w:val="continue"/>
            <w:tcBorders>
              <w:top w:val="single" w:color="000000" w:sz="4" w:space="0"/>
              <w:left w:val="single" w:color="000000" w:sz="10" w:space="0"/>
              <w:bottom w:val="single" w:color="000000" w:sz="4" w:space="0"/>
              <w:right w:val="single" w:color="000000" w:sz="4" w:space="0"/>
            </w:tcBorders>
            <w:shd w:val="clear" w:color="auto" w:fill="auto"/>
            <w:vAlign w:val="center"/>
          </w:tcPr>
          <w:p w14:paraId="21AE4E7B">
            <w:pPr>
              <w:rPr>
                <w:color w:val="auto"/>
                <w:highlight w:val="none"/>
              </w:rPr>
            </w:pPr>
          </w:p>
        </w:tc>
        <w:tc>
          <w:tcPr>
            <w:tcW w:w="10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07C022">
            <w:pPr>
              <w:rPr>
                <w:color w:val="auto"/>
                <w:highlight w:val="none"/>
              </w:rPr>
            </w:pPr>
          </w:p>
        </w:tc>
        <w:tc>
          <w:tcPr>
            <w:tcW w:w="13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50AC61">
            <w:pPr>
              <w:rPr>
                <w:color w:val="auto"/>
                <w:highlight w:val="none"/>
              </w:rPr>
            </w:pPr>
          </w:p>
        </w:tc>
        <w:tc>
          <w:tcPr>
            <w:tcW w:w="260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921C39">
            <w:pPr>
              <w:rPr>
                <w:color w:val="auto"/>
                <w:highlight w:val="none"/>
              </w:rPr>
            </w:pPr>
          </w:p>
        </w:tc>
        <w:tc>
          <w:tcPr>
            <w:tcW w:w="6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F00ED">
            <w:pPr>
              <w:rPr>
                <w:color w:val="auto"/>
                <w:highlight w:val="none"/>
              </w:rPr>
            </w:pPr>
          </w:p>
        </w:tc>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3A11C1">
            <w:pPr>
              <w:jc w:val="center"/>
              <w:rPr>
                <w:color w:val="auto"/>
                <w:highlight w:val="none"/>
              </w:rPr>
            </w:pPr>
          </w:p>
        </w:tc>
        <w:tc>
          <w:tcPr>
            <w:tcW w:w="9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F27FE5">
            <w:pPr>
              <w:rPr>
                <w:color w:val="auto"/>
                <w:highlight w:val="none"/>
              </w:rPr>
            </w:pPr>
          </w:p>
        </w:tc>
        <w:tc>
          <w:tcPr>
            <w:tcW w:w="101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A2AFD4">
            <w:pPr>
              <w:rPr>
                <w:color w:val="auto"/>
                <w:highlight w:val="none"/>
              </w:rPr>
            </w:pPr>
          </w:p>
        </w:tc>
        <w:tc>
          <w:tcPr>
            <w:tcW w:w="855" w:type="dxa"/>
            <w:vMerge w:val="continue"/>
            <w:tcBorders>
              <w:top w:val="single" w:color="000000" w:sz="4" w:space="0"/>
              <w:left w:val="single" w:color="000000" w:sz="4" w:space="0"/>
              <w:bottom w:val="single" w:color="000000" w:sz="4" w:space="0"/>
              <w:right w:val="single" w:color="000000" w:sz="10" w:space="0"/>
            </w:tcBorders>
            <w:shd w:val="clear" w:color="auto" w:fill="auto"/>
            <w:vAlign w:val="center"/>
          </w:tcPr>
          <w:p w14:paraId="765C8BF9">
            <w:pPr>
              <w:rPr>
                <w:color w:val="auto"/>
                <w:highlight w:val="none"/>
              </w:rPr>
            </w:pPr>
          </w:p>
        </w:tc>
      </w:tr>
      <w:tr w14:paraId="6E7F0653">
        <w:tblPrEx>
          <w:tblCellMar>
            <w:top w:w="0" w:type="dxa"/>
            <w:left w:w="0" w:type="dxa"/>
            <w:bottom w:w="0" w:type="dxa"/>
            <w:right w:w="0" w:type="dxa"/>
          </w:tblCellMar>
        </w:tblPrEx>
        <w:trPr>
          <w:trHeight w:val="1404"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24CF5E09">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2</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1674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010302001001</w:t>
            </w: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2E187">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钢管杆（塔）Q355-10kV双回分支带低压（7基）</w:t>
            </w:r>
          </w:p>
        </w:tc>
        <w:tc>
          <w:tcPr>
            <w:tcW w:w="26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BE1E64">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空桩长度、桩长：9米，桩径：2米，3、成孔方法：泥浆护壁成孔灌注桩4、混凝土种类、强度等级：C25</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A5E21">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m3</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7C87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123.53</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9F64D">
            <w:pPr>
              <w:spacing w:line="232" w:lineRule="auto"/>
              <w:jc w:val="right"/>
              <w:rPr>
                <w:rFonts w:ascii="宋体" w:hAnsi="宋体" w:eastAsia="宋体" w:cs="宋体"/>
                <w:color w:val="auto"/>
                <w:spacing w:val="-2"/>
                <w:sz w:val="21"/>
                <w:highlight w:val="none"/>
              </w:rPr>
            </w:pPr>
          </w:p>
        </w:tc>
        <w:tc>
          <w:tcPr>
            <w:tcW w:w="10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2AEDA2">
            <w:pPr>
              <w:spacing w:line="232" w:lineRule="auto"/>
              <w:jc w:val="right"/>
              <w:rPr>
                <w:rFonts w:ascii="宋体" w:hAnsi="宋体" w:eastAsia="宋体" w:cs="宋体"/>
                <w:color w:val="auto"/>
                <w:spacing w:val="-2"/>
                <w:sz w:val="21"/>
                <w:highlight w:val="none"/>
              </w:rPr>
            </w:pPr>
          </w:p>
        </w:tc>
        <w:tc>
          <w:tcPr>
            <w:tcW w:w="85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41028E47">
            <w:pPr>
              <w:spacing w:line="232" w:lineRule="auto"/>
              <w:jc w:val="right"/>
              <w:rPr>
                <w:rFonts w:ascii="宋体" w:hAnsi="宋体" w:eastAsia="宋体" w:cs="宋体"/>
                <w:color w:val="auto"/>
                <w:spacing w:val="-2"/>
                <w:sz w:val="21"/>
                <w:highlight w:val="none"/>
              </w:rPr>
            </w:pPr>
          </w:p>
        </w:tc>
      </w:tr>
      <w:tr w14:paraId="40CF5EC1">
        <w:tblPrEx>
          <w:tblCellMar>
            <w:top w:w="0" w:type="dxa"/>
            <w:left w:w="0" w:type="dxa"/>
            <w:bottom w:w="0" w:type="dxa"/>
            <w:right w:w="0" w:type="dxa"/>
          </w:tblCellMar>
        </w:tblPrEx>
        <w:trPr>
          <w:trHeight w:val="1418"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69258D3A">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3</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F2454">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040803003009</w:t>
            </w: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1112A">
            <w:pPr>
              <w:spacing w:line="232" w:lineRule="auto"/>
              <w:rPr>
                <w:rFonts w:ascii="宋体" w:hAnsi="宋体" w:eastAsia="宋体" w:cs="宋体"/>
                <w:color w:val="auto"/>
                <w:spacing w:val="-2"/>
                <w:sz w:val="21"/>
                <w:highlight w:val="none"/>
              </w:rPr>
            </w:pPr>
            <w:r>
              <w:rPr>
                <w:rFonts w:ascii="宋体" w:hAnsi="宋体" w:eastAsia="宋体" w:cs="宋体"/>
                <w:color w:val="auto"/>
                <w:spacing w:val="-2"/>
                <w:sz w:val="21"/>
                <w:highlight w:val="none"/>
              </w:rPr>
              <w:t>电缆排管</w:t>
            </w:r>
          </w:p>
        </w:tc>
        <w:tc>
          <w:tcPr>
            <w:tcW w:w="26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13990C">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1.</w:t>
            </w:r>
            <w:r>
              <w:rPr>
                <w:rFonts w:ascii="宋体" w:hAnsi="宋体" w:eastAsia="宋体" w:cs="宋体"/>
                <w:color w:val="auto"/>
                <w:spacing w:val="-2"/>
                <w:sz w:val="21"/>
                <w:highlight w:val="none"/>
              </w:rPr>
              <w:t>名称：六回管道</w:t>
            </w:r>
          </w:p>
          <w:p w14:paraId="39031B38">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2.</w:t>
            </w:r>
            <w:r>
              <w:rPr>
                <w:rFonts w:ascii="宋体" w:hAnsi="宋体" w:eastAsia="宋体" w:cs="宋体"/>
                <w:color w:val="auto"/>
                <w:spacing w:val="-2"/>
                <w:sz w:val="21"/>
                <w:highlight w:val="none"/>
              </w:rPr>
              <w:t>型号：混凝土包封</w:t>
            </w:r>
          </w:p>
          <w:p w14:paraId="6F0FFFA7">
            <w:pPr>
              <w:spacing w:line="232" w:lineRule="auto"/>
              <w:rPr>
                <w:rFonts w:ascii="宋体" w:hAnsi="宋体" w:eastAsia="宋体" w:cs="宋体"/>
                <w:color w:val="auto"/>
                <w:spacing w:val="-2"/>
                <w:sz w:val="21"/>
                <w:highlight w:val="none"/>
              </w:rPr>
            </w:pPr>
            <w:r>
              <w:rPr>
                <w:rFonts w:hint="eastAsia" w:ascii="宋体" w:hAnsi="宋体" w:cs="宋体"/>
                <w:color w:val="auto"/>
                <w:spacing w:val="-2"/>
                <w:sz w:val="21"/>
                <w:highlight w:val="none"/>
                <w:lang w:eastAsia="zh-CN"/>
              </w:rPr>
              <w:t>3.</w:t>
            </w:r>
            <w:r>
              <w:rPr>
                <w:rFonts w:ascii="宋体" w:hAnsi="宋体" w:eastAsia="宋体" w:cs="宋体"/>
                <w:color w:val="auto"/>
                <w:spacing w:val="-2"/>
                <w:sz w:val="21"/>
                <w:highlight w:val="none"/>
              </w:rPr>
              <w:t>材质：CPVC</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内径</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φ200</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壁厚</w:t>
            </w:r>
            <w:r>
              <w:rPr>
                <w:rFonts w:hint="eastAsia" w:ascii="宋体" w:hAnsi="宋体" w:cs="宋体"/>
                <w:color w:val="auto"/>
                <w:spacing w:val="-2"/>
                <w:sz w:val="21"/>
                <w:highlight w:val="none"/>
                <w:lang w:eastAsia="zh-CN"/>
              </w:rPr>
              <w:t>：</w:t>
            </w:r>
            <w:r>
              <w:rPr>
                <w:rFonts w:ascii="宋体" w:hAnsi="宋体" w:eastAsia="宋体" w:cs="宋体"/>
                <w:color w:val="auto"/>
                <w:spacing w:val="-2"/>
                <w:sz w:val="21"/>
                <w:highlight w:val="none"/>
              </w:rPr>
              <w:t>16mm</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9CD33">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89272">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150</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72FAB">
            <w:pPr>
              <w:spacing w:line="232" w:lineRule="auto"/>
              <w:jc w:val="right"/>
              <w:rPr>
                <w:rFonts w:ascii="宋体" w:hAnsi="宋体" w:eastAsia="宋体" w:cs="宋体"/>
                <w:color w:val="auto"/>
                <w:spacing w:val="-2"/>
                <w:sz w:val="21"/>
                <w:highlight w:val="none"/>
              </w:rPr>
            </w:pPr>
          </w:p>
        </w:tc>
        <w:tc>
          <w:tcPr>
            <w:tcW w:w="10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B78B7F">
            <w:pPr>
              <w:spacing w:line="232" w:lineRule="auto"/>
              <w:jc w:val="right"/>
              <w:rPr>
                <w:rFonts w:ascii="宋体" w:hAnsi="宋体" w:eastAsia="宋体" w:cs="宋体"/>
                <w:color w:val="auto"/>
                <w:spacing w:val="-2"/>
                <w:sz w:val="21"/>
                <w:highlight w:val="none"/>
              </w:rPr>
            </w:pPr>
          </w:p>
        </w:tc>
        <w:tc>
          <w:tcPr>
            <w:tcW w:w="85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39221774">
            <w:pPr>
              <w:spacing w:line="232" w:lineRule="auto"/>
              <w:jc w:val="right"/>
              <w:rPr>
                <w:rFonts w:ascii="宋体" w:hAnsi="宋体" w:eastAsia="宋体" w:cs="宋体"/>
                <w:color w:val="auto"/>
                <w:spacing w:val="-2"/>
                <w:sz w:val="21"/>
                <w:highlight w:val="none"/>
              </w:rPr>
            </w:pPr>
          </w:p>
        </w:tc>
      </w:tr>
      <w:tr w14:paraId="58F92049">
        <w:tblPrEx>
          <w:tblCellMar>
            <w:top w:w="0" w:type="dxa"/>
            <w:left w:w="0" w:type="dxa"/>
            <w:bottom w:w="0" w:type="dxa"/>
            <w:right w:w="0" w:type="dxa"/>
          </w:tblCellMar>
        </w:tblPrEx>
        <w:trPr>
          <w:trHeight w:val="330"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3C89B116">
            <w:pPr>
              <w:spacing w:line="232" w:lineRule="auto"/>
              <w:jc w:val="center"/>
              <w:rPr>
                <w:rFonts w:ascii="宋体" w:hAnsi="宋体" w:eastAsia="宋体" w:cs="宋体"/>
                <w:color w:val="auto"/>
                <w:spacing w:val="-2"/>
                <w:sz w:val="21"/>
                <w:highlight w:val="none"/>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F7666">
            <w:pPr>
              <w:spacing w:line="232" w:lineRule="auto"/>
              <w:jc w:val="center"/>
              <w:rPr>
                <w:rFonts w:ascii="宋体" w:hAnsi="宋体" w:eastAsia="宋体" w:cs="宋体"/>
                <w:color w:val="auto"/>
                <w:spacing w:val="-2"/>
                <w:sz w:val="21"/>
                <w:highlight w:val="none"/>
              </w:rPr>
            </w:pPr>
          </w:p>
        </w:tc>
        <w:tc>
          <w:tcPr>
            <w:tcW w:w="394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C1F2C47">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分部分项合计</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55FE1">
            <w:pPr>
              <w:spacing w:line="232" w:lineRule="auto"/>
              <w:jc w:val="center"/>
              <w:rPr>
                <w:rFonts w:ascii="宋体" w:hAnsi="宋体" w:eastAsia="宋体" w:cs="宋体"/>
                <w:color w:val="auto"/>
                <w:spacing w:val="-2"/>
                <w:sz w:val="21"/>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C56F7">
            <w:pPr>
              <w:spacing w:line="232" w:lineRule="auto"/>
              <w:jc w:val="right"/>
              <w:rPr>
                <w:rFonts w:ascii="宋体" w:hAnsi="宋体" w:eastAsia="宋体" w:cs="宋体"/>
                <w:color w:val="auto"/>
                <w:spacing w:val="-2"/>
                <w:sz w:val="21"/>
                <w:highlight w:val="none"/>
              </w:rPr>
            </w:pPr>
            <w:r>
              <w:rPr>
                <w:rFonts w:ascii="宋体" w:hAnsi="宋体" w:eastAsia="宋体" w:cs="宋体"/>
                <w:color w:val="auto"/>
                <w:spacing w:val="-2"/>
                <w:sz w:val="21"/>
                <w:highlight w:val="none"/>
              </w:rPr>
              <w:t xml:space="preserve"> </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A6831">
            <w:pPr>
              <w:spacing w:line="232" w:lineRule="auto"/>
              <w:jc w:val="right"/>
              <w:rPr>
                <w:rFonts w:ascii="宋体" w:hAnsi="宋体" w:eastAsia="宋体" w:cs="宋体"/>
                <w:color w:val="auto"/>
                <w:spacing w:val="-2"/>
                <w:sz w:val="21"/>
                <w:highlight w:val="none"/>
              </w:rPr>
            </w:pPr>
          </w:p>
        </w:tc>
        <w:tc>
          <w:tcPr>
            <w:tcW w:w="10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06E97D">
            <w:pPr>
              <w:spacing w:line="232" w:lineRule="auto"/>
              <w:jc w:val="right"/>
              <w:rPr>
                <w:rFonts w:ascii="宋体" w:hAnsi="宋体" w:eastAsia="宋体" w:cs="宋体"/>
                <w:color w:val="auto"/>
                <w:spacing w:val="-2"/>
                <w:sz w:val="21"/>
                <w:highlight w:val="none"/>
              </w:rPr>
            </w:pPr>
          </w:p>
        </w:tc>
        <w:tc>
          <w:tcPr>
            <w:tcW w:w="85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69DD8564">
            <w:pPr>
              <w:spacing w:line="232" w:lineRule="auto"/>
              <w:jc w:val="right"/>
              <w:rPr>
                <w:rFonts w:ascii="宋体" w:hAnsi="宋体" w:eastAsia="宋体" w:cs="宋体"/>
                <w:color w:val="auto"/>
                <w:spacing w:val="-2"/>
                <w:sz w:val="21"/>
                <w:highlight w:val="none"/>
              </w:rPr>
            </w:pPr>
          </w:p>
        </w:tc>
      </w:tr>
      <w:tr w14:paraId="6545E59C">
        <w:tblPrEx>
          <w:tblCellMar>
            <w:top w:w="0" w:type="dxa"/>
            <w:left w:w="0" w:type="dxa"/>
            <w:bottom w:w="0" w:type="dxa"/>
            <w:right w:w="0" w:type="dxa"/>
          </w:tblCellMar>
        </w:tblPrEx>
        <w:trPr>
          <w:trHeight w:val="344"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4C6228E8">
            <w:pPr>
              <w:spacing w:line="232" w:lineRule="auto"/>
              <w:jc w:val="center"/>
              <w:rPr>
                <w:rFonts w:ascii="宋体" w:hAnsi="宋体" w:eastAsia="宋体" w:cs="宋体"/>
                <w:color w:val="auto"/>
                <w:spacing w:val="-2"/>
                <w:sz w:val="21"/>
                <w:highlight w:val="none"/>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C1762">
            <w:pPr>
              <w:spacing w:line="232" w:lineRule="auto"/>
              <w:jc w:val="center"/>
              <w:rPr>
                <w:rFonts w:ascii="宋体" w:hAnsi="宋体" w:eastAsia="宋体" w:cs="宋体"/>
                <w:color w:val="auto"/>
                <w:spacing w:val="-2"/>
                <w:sz w:val="21"/>
                <w:highlight w:val="none"/>
              </w:rPr>
            </w:pP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49529">
            <w:pPr>
              <w:spacing w:line="232" w:lineRule="auto"/>
              <w:rPr>
                <w:rFonts w:ascii="宋体" w:hAnsi="宋体" w:eastAsia="宋体" w:cs="宋体"/>
                <w:color w:val="auto"/>
                <w:spacing w:val="-2"/>
                <w:sz w:val="21"/>
                <w:highlight w:val="none"/>
              </w:rPr>
            </w:pPr>
          </w:p>
        </w:tc>
        <w:tc>
          <w:tcPr>
            <w:tcW w:w="26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BF7CBE">
            <w:pPr>
              <w:spacing w:line="232" w:lineRule="auto"/>
              <w:rPr>
                <w:rFonts w:ascii="宋体" w:hAnsi="宋体" w:eastAsia="宋体" w:cs="宋体"/>
                <w:color w:val="auto"/>
                <w:spacing w:val="-2"/>
                <w:sz w:val="21"/>
                <w:highlight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19AA0">
            <w:pPr>
              <w:spacing w:line="232" w:lineRule="auto"/>
              <w:jc w:val="center"/>
              <w:rPr>
                <w:rFonts w:ascii="宋体" w:hAnsi="宋体" w:eastAsia="宋体" w:cs="宋体"/>
                <w:color w:val="auto"/>
                <w:spacing w:val="-2"/>
                <w:sz w:val="21"/>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1B2D3">
            <w:pPr>
              <w:spacing w:line="232" w:lineRule="auto"/>
              <w:jc w:val="right"/>
              <w:rPr>
                <w:rFonts w:ascii="宋体" w:hAnsi="宋体" w:eastAsia="宋体" w:cs="宋体"/>
                <w:color w:val="auto"/>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77A28">
            <w:pPr>
              <w:spacing w:line="232" w:lineRule="auto"/>
              <w:jc w:val="right"/>
              <w:rPr>
                <w:rFonts w:ascii="宋体" w:hAnsi="宋体" w:eastAsia="宋体" w:cs="宋体"/>
                <w:color w:val="auto"/>
                <w:spacing w:val="-2"/>
                <w:sz w:val="21"/>
                <w:highlight w:val="none"/>
              </w:rPr>
            </w:pPr>
          </w:p>
        </w:tc>
        <w:tc>
          <w:tcPr>
            <w:tcW w:w="10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E0DA15">
            <w:pPr>
              <w:spacing w:line="232" w:lineRule="auto"/>
              <w:jc w:val="right"/>
              <w:rPr>
                <w:rFonts w:ascii="宋体" w:hAnsi="宋体" w:eastAsia="宋体" w:cs="宋体"/>
                <w:color w:val="auto"/>
                <w:spacing w:val="-2"/>
                <w:sz w:val="21"/>
                <w:highlight w:val="none"/>
              </w:rPr>
            </w:pPr>
          </w:p>
        </w:tc>
        <w:tc>
          <w:tcPr>
            <w:tcW w:w="85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6F7A7B94">
            <w:pPr>
              <w:spacing w:line="232" w:lineRule="auto"/>
              <w:jc w:val="right"/>
              <w:rPr>
                <w:rFonts w:ascii="宋体" w:hAnsi="宋体" w:eastAsia="宋体" w:cs="宋体"/>
                <w:color w:val="auto"/>
                <w:spacing w:val="-2"/>
                <w:sz w:val="21"/>
                <w:highlight w:val="none"/>
              </w:rPr>
            </w:pPr>
          </w:p>
        </w:tc>
      </w:tr>
      <w:tr w14:paraId="17BC268F">
        <w:tblPrEx>
          <w:tblCellMar>
            <w:top w:w="0" w:type="dxa"/>
            <w:left w:w="0" w:type="dxa"/>
            <w:bottom w:w="0" w:type="dxa"/>
            <w:right w:w="0" w:type="dxa"/>
          </w:tblCellMar>
        </w:tblPrEx>
        <w:trPr>
          <w:trHeight w:val="344"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07B73F41">
            <w:pPr>
              <w:spacing w:line="232" w:lineRule="auto"/>
              <w:jc w:val="center"/>
              <w:rPr>
                <w:rFonts w:ascii="宋体" w:hAnsi="宋体" w:eastAsia="宋体" w:cs="宋体"/>
                <w:color w:val="auto"/>
                <w:spacing w:val="-2"/>
                <w:sz w:val="21"/>
                <w:highlight w:val="none"/>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517D0">
            <w:pPr>
              <w:spacing w:line="232" w:lineRule="auto"/>
              <w:jc w:val="center"/>
              <w:rPr>
                <w:rFonts w:ascii="宋体" w:hAnsi="宋体" w:eastAsia="宋体" w:cs="宋体"/>
                <w:color w:val="auto"/>
                <w:spacing w:val="-2"/>
                <w:sz w:val="21"/>
                <w:highlight w:val="none"/>
              </w:rPr>
            </w:pP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F6F7E">
            <w:pPr>
              <w:spacing w:line="232" w:lineRule="auto"/>
              <w:rPr>
                <w:rFonts w:ascii="宋体" w:hAnsi="宋体" w:eastAsia="宋体" w:cs="宋体"/>
                <w:color w:val="auto"/>
                <w:spacing w:val="-2"/>
                <w:sz w:val="21"/>
                <w:highlight w:val="none"/>
              </w:rPr>
            </w:pPr>
          </w:p>
        </w:tc>
        <w:tc>
          <w:tcPr>
            <w:tcW w:w="26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E2FE02">
            <w:pPr>
              <w:spacing w:line="232" w:lineRule="auto"/>
              <w:rPr>
                <w:rFonts w:ascii="宋体" w:hAnsi="宋体" w:eastAsia="宋体" w:cs="宋体"/>
                <w:color w:val="auto"/>
                <w:spacing w:val="-2"/>
                <w:sz w:val="21"/>
                <w:highlight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E9598">
            <w:pPr>
              <w:spacing w:line="232" w:lineRule="auto"/>
              <w:jc w:val="center"/>
              <w:rPr>
                <w:rFonts w:ascii="宋体" w:hAnsi="宋体" w:eastAsia="宋体" w:cs="宋体"/>
                <w:color w:val="auto"/>
                <w:spacing w:val="-2"/>
                <w:sz w:val="21"/>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54911">
            <w:pPr>
              <w:spacing w:line="232" w:lineRule="auto"/>
              <w:jc w:val="right"/>
              <w:rPr>
                <w:rFonts w:ascii="宋体" w:hAnsi="宋体" w:eastAsia="宋体" w:cs="宋体"/>
                <w:color w:val="auto"/>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6CE72">
            <w:pPr>
              <w:spacing w:line="232" w:lineRule="auto"/>
              <w:jc w:val="right"/>
              <w:rPr>
                <w:rFonts w:ascii="宋体" w:hAnsi="宋体" w:eastAsia="宋体" w:cs="宋体"/>
                <w:color w:val="auto"/>
                <w:spacing w:val="-2"/>
                <w:sz w:val="21"/>
                <w:highlight w:val="none"/>
              </w:rPr>
            </w:pPr>
          </w:p>
        </w:tc>
        <w:tc>
          <w:tcPr>
            <w:tcW w:w="10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6C8D02">
            <w:pPr>
              <w:spacing w:line="232" w:lineRule="auto"/>
              <w:jc w:val="right"/>
              <w:rPr>
                <w:rFonts w:ascii="宋体" w:hAnsi="宋体" w:eastAsia="宋体" w:cs="宋体"/>
                <w:color w:val="auto"/>
                <w:spacing w:val="-2"/>
                <w:sz w:val="21"/>
                <w:highlight w:val="none"/>
              </w:rPr>
            </w:pPr>
          </w:p>
        </w:tc>
        <w:tc>
          <w:tcPr>
            <w:tcW w:w="85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0339EB18">
            <w:pPr>
              <w:spacing w:line="232" w:lineRule="auto"/>
              <w:jc w:val="right"/>
              <w:rPr>
                <w:rFonts w:ascii="宋体" w:hAnsi="宋体" w:eastAsia="宋体" w:cs="宋体"/>
                <w:color w:val="auto"/>
                <w:spacing w:val="-2"/>
                <w:sz w:val="21"/>
                <w:highlight w:val="none"/>
              </w:rPr>
            </w:pPr>
          </w:p>
        </w:tc>
      </w:tr>
      <w:tr w14:paraId="67044EEF">
        <w:tblPrEx>
          <w:tblCellMar>
            <w:top w:w="0" w:type="dxa"/>
            <w:left w:w="0" w:type="dxa"/>
            <w:bottom w:w="0" w:type="dxa"/>
            <w:right w:w="0" w:type="dxa"/>
          </w:tblCellMar>
        </w:tblPrEx>
        <w:trPr>
          <w:trHeight w:val="329"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37E6167C">
            <w:pPr>
              <w:spacing w:line="232" w:lineRule="auto"/>
              <w:jc w:val="center"/>
              <w:rPr>
                <w:rFonts w:ascii="宋体" w:hAnsi="宋体" w:eastAsia="宋体" w:cs="宋体"/>
                <w:color w:val="auto"/>
                <w:spacing w:val="-2"/>
                <w:sz w:val="21"/>
                <w:highlight w:val="none"/>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6CD89">
            <w:pPr>
              <w:spacing w:line="232" w:lineRule="auto"/>
              <w:jc w:val="center"/>
              <w:rPr>
                <w:rFonts w:ascii="宋体" w:hAnsi="宋体" w:eastAsia="宋体" w:cs="宋体"/>
                <w:color w:val="auto"/>
                <w:spacing w:val="-2"/>
                <w:sz w:val="21"/>
                <w:highlight w:val="none"/>
              </w:rPr>
            </w:pP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CD64A">
            <w:pPr>
              <w:spacing w:line="232" w:lineRule="auto"/>
              <w:rPr>
                <w:rFonts w:ascii="宋体" w:hAnsi="宋体" w:eastAsia="宋体" w:cs="宋体"/>
                <w:color w:val="auto"/>
                <w:spacing w:val="-2"/>
                <w:sz w:val="21"/>
                <w:highlight w:val="none"/>
              </w:rPr>
            </w:pPr>
          </w:p>
        </w:tc>
        <w:tc>
          <w:tcPr>
            <w:tcW w:w="26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0BAEBE">
            <w:pPr>
              <w:spacing w:line="232" w:lineRule="auto"/>
              <w:rPr>
                <w:rFonts w:ascii="宋体" w:hAnsi="宋体" w:eastAsia="宋体" w:cs="宋体"/>
                <w:color w:val="auto"/>
                <w:spacing w:val="-2"/>
                <w:sz w:val="21"/>
                <w:highlight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8EC86">
            <w:pPr>
              <w:spacing w:line="232" w:lineRule="auto"/>
              <w:jc w:val="center"/>
              <w:rPr>
                <w:rFonts w:ascii="宋体" w:hAnsi="宋体" w:eastAsia="宋体" w:cs="宋体"/>
                <w:color w:val="auto"/>
                <w:spacing w:val="-2"/>
                <w:sz w:val="21"/>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1CEF1">
            <w:pPr>
              <w:spacing w:line="232" w:lineRule="auto"/>
              <w:jc w:val="right"/>
              <w:rPr>
                <w:rFonts w:ascii="宋体" w:hAnsi="宋体" w:eastAsia="宋体" w:cs="宋体"/>
                <w:color w:val="auto"/>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86412">
            <w:pPr>
              <w:spacing w:line="232" w:lineRule="auto"/>
              <w:jc w:val="right"/>
              <w:rPr>
                <w:rFonts w:ascii="宋体" w:hAnsi="宋体" w:eastAsia="宋体" w:cs="宋体"/>
                <w:color w:val="auto"/>
                <w:spacing w:val="-2"/>
                <w:sz w:val="21"/>
                <w:highlight w:val="none"/>
              </w:rPr>
            </w:pPr>
          </w:p>
        </w:tc>
        <w:tc>
          <w:tcPr>
            <w:tcW w:w="10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7A3A4A">
            <w:pPr>
              <w:spacing w:line="232" w:lineRule="auto"/>
              <w:jc w:val="right"/>
              <w:rPr>
                <w:rFonts w:ascii="宋体" w:hAnsi="宋体" w:eastAsia="宋体" w:cs="宋体"/>
                <w:color w:val="auto"/>
                <w:spacing w:val="-2"/>
                <w:sz w:val="21"/>
                <w:highlight w:val="none"/>
              </w:rPr>
            </w:pPr>
          </w:p>
        </w:tc>
        <w:tc>
          <w:tcPr>
            <w:tcW w:w="85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2321FA16">
            <w:pPr>
              <w:spacing w:line="232" w:lineRule="auto"/>
              <w:jc w:val="right"/>
              <w:rPr>
                <w:rFonts w:ascii="宋体" w:hAnsi="宋体" w:eastAsia="宋体" w:cs="宋体"/>
                <w:color w:val="auto"/>
                <w:spacing w:val="-2"/>
                <w:sz w:val="21"/>
                <w:highlight w:val="none"/>
              </w:rPr>
            </w:pPr>
          </w:p>
        </w:tc>
      </w:tr>
      <w:tr w14:paraId="56165433">
        <w:tblPrEx>
          <w:tblCellMar>
            <w:top w:w="0" w:type="dxa"/>
            <w:left w:w="0" w:type="dxa"/>
            <w:bottom w:w="0" w:type="dxa"/>
            <w:right w:w="0" w:type="dxa"/>
          </w:tblCellMar>
        </w:tblPrEx>
        <w:trPr>
          <w:trHeight w:val="344"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4665CC2D">
            <w:pPr>
              <w:spacing w:line="232" w:lineRule="auto"/>
              <w:jc w:val="center"/>
              <w:rPr>
                <w:rFonts w:ascii="宋体" w:hAnsi="宋体" w:eastAsia="宋体" w:cs="宋体"/>
                <w:color w:val="auto"/>
                <w:spacing w:val="-2"/>
                <w:sz w:val="21"/>
                <w:highlight w:val="none"/>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51C67">
            <w:pPr>
              <w:spacing w:line="232" w:lineRule="auto"/>
              <w:jc w:val="center"/>
              <w:rPr>
                <w:rFonts w:ascii="宋体" w:hAnsi="宋体" w:eastAsia="宋体" w:cs="宋体"/>
                <w:color w:val="auto"/>
                <w:spacing w:val="-2"/>
                <w:sz w:val="21"/>
                <w:highlight w:val="none"/>
              </w:rPr>
            </w:pP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91D6B">
            <w:pPr>
              <w:spacing w:line="232" w:lineRule="auto"/>
              <w:rPr>
                <w:rFonts w:ascii="宋体" w:hAnsi="宋体" w:eastAsia="宋体" w:cs="宋体"/>
                <w:color w:val="auto"/>
                <w:spacing w:val="-2"/>
                <w:sz w:val="21"/>
                <w:highlight w:val="none"/>
              </w:rPr>
            </w:pPr>
          </w:p>
        </w:tc>
        <w:tc>
          <w:tcPr>
            <w:tcW w:w="26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9D1667">
            <w:pPr>
              <w:spacing w:line="232" w:lineRule="auto"/>
              <w:rPr>
                <w:rFonts w:ascii="宋体" w:hAnsi="宋体" w:eastAsia="宋体" w:cs="宋体"/>
                <w:color w:val="auto"/>
                <w:spacing w:val="-2"/>
                <w:sz w:val="21"/>
                <w:highlight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92DBA">
            <w:pPr>
              <w:spacing w:line="232" w:lineRule="auto"/>
              <w:jc w:val="center"/>
              <w:rPr>
                <w:rFonts w:ascii="宋体" w:hAnsi="宋体" w:eastAsia="宋体" w:cs="宋体"/>
                <w:color w:val="auto"/>
                <w:spacing w:val="-2"/>
                <w:sz w:val="21"/>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AD357">
            <w:pPr>
              <w:spacing w:line="232" w:lineRule="auto"/>
              <w:jc w:val="right"/>
              <w:rPr>
                <w:rFonts w:ascii="宋体" w:hAnsi="宋体" w:eastAsia="宋体" w:cs="宋体"/>
                <w:color w:val="auto"/>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46F0A">
            <w:pPr>
              <w:spacing w:line="232" w:lineRule="auto"/>
              <w:jc w:val="right"/>
              <w:rPr>
                <w:rFonts w:ascii="宋体" w:hAnsi="宋体" w:eastAsia="宋体" w:cs="宋体"/>
                <w:color w:val="auto"/>
                <w:spacing w:val="-2"/>
                <w:sz w:val="21"/>
                <w:highlight w:val="none"/>
              </w:rPr>
            </w:pPr>
          </w:p>
        </w:tc>
        <w:tc>
          <w:tcPr>
            <w:tcW w:w="10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864853">
            <w:pPr>
              <w:spacing w:line="232" w:lineRule="auto"/>
              <w:jc w:val="right"/>
              <w:rPr>
                <w:rFonts w:ascii="宋体" w:hAnsi="宋体" w:eastAsia="宋体" w:cs="宋体"/>
                <w:color w:val="auto"/>
                <w:spacing w:val="-2"/>
                <w:sz w:val="21"/>
                <w:highlight w:val="none"/>
              </w:rPr>
            </w:pPr>
          </w:p>
        </w:tc>
        <w:tc>
          <w:tcPr>
            <w:tcW w:w="85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3F0308C1">
            <w:pPr>
              <w:spacing w:line="232" w:lineRule="auto"/>
              <w:jc w:val="right"/>
              <w:rPr>
                <w:rFonts w:ascii="宋体" w:hAnsi="宋体" w:eastAsia="宋体" w:cs="宋体"/>
                <w:color w:val="auto"/>
                <w:spacing w:val="-2"/>
                <w:sz w:val="21"/>
                <w:highlight w:val="none"/>
              </w:rPr>
            </w:pPr>
          </w:p>
        </w:tc>
      </w:tr>
      <w:tr w14:paraId="27FD8103">
        <w:tblPrEx>
          <w:tblCellMar>
            <w:top w:w="0" w:type="dxa"/>
            <w:left w:w="0" w:type="dxa"/>
            <w:bottom w:w="0" w:type="dxa"/>
            <w:right w:w="0" w:type="dxa"/>
          </w:tblCellMar>
        </w:tblPrEx>
        <w:trPr>
          <w:trHeight w:val="344" w:hRule="exact"/>
        </w:trPr>
        <w:tc>
          <w:tcPr>
            <w:tcW w:w="544" w:type="dxa"/>
            <w:tcBorders>
              <w:top w:val="single" w:color="000000" w:sz="4" w:space="0"/>
              <w:left w:val="single" w:color="000000" w:sz="10" w:space="0"/>
              <w:bottom w:val="single" w:color="000000" w:sz="4" w:space="0"/>
              <w:right w:val="single" w:color="000000" w:sz="4" w:space="0"/>
            </w:tcBorders>
            <w:shd w:val="clear" w:color="auto" w:fill="auto"/>
            <w:vAlign w:val="center"/>
          </w:tcPr>
          <w:p w14:paraId="2B3B89DD">
            <w:pPr>
              <w:spacing w:line="232" w:lineRule="auto"/>
              <w:jc w:val="center"/>
              <w:rPr>
                <w:rFonts w:ascii="宋体" w:hAnsi="宋体" w:eastAsia="宋体" w:cs="宋体"/>
                <w:color w:val="auto"/>
                <w:spacing w:val="-2"/>
                <w:sz w:val="21"/>
                <w:highlight w:val="none"/>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CF8ED">
            <w:pPr>
              <w:spacing w:line="232" w:lineRule="auto"/>
              <w:jc w:val="center"/>
              <w:rPr>
                <w:rFonts w:ascii="宋体" w:hAnsi="宋体" w:eastAsia="宋体" w:cs="宋体"/>
                <w:color w:val="auto"/>
                <w:spacing w:val="-2"/>
                <w:sz w:val="21"/>
                <w:highlight w:val="none"/>
              </w:rPr>
            </w:pP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3BFCC">
            <w:pPr>
              <w:spacing w:line="232" w:lineRule="auto"/>
              <w:rPr>
                <w:rFonts w:ascii="宋体" w:hAnsi="宋体" w:eastAsia="宋体" w:cs="宋体"/>
                <w:color w:val="auto"/>
                <w:spacing w:val="-2"/>
                <w:sz w:val="21"/>
                <w:highlight w:val="none"/>
              </w:rPr>
            </w:pPr>
          </w:p>
        </w:tc>
        <w:tc>
          <w:tcPr>
            <w:tcW w:w="26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5AD9AA">
            <w:pPr>
              <w:spacing w:line="232" w:lineRule="auto"/>
              <w:rPr>
                <w:rFonts w:ascii="宋体" w:hAnsi="宋体" w:eastAsia="宋体" w:cs="宋体"/>
                <w:color w:val="auto"/>
                <w:spacing w:val="-2"/>
                <w:sz w:val="21"/>
                <w:highlight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9C91E">
            <w:pPr>
              <w:spacing w:line="232" w:lineRule="auto"/>
              <w:jc w:val="center"/>
              <w:rPr>
                <w:rFonts w:ascii="宋体" w:hAnsi="宋体" w:eastAsia="宋体" w:cs="宋体"/>
                <w:color w:val="auto"/>
                <w:spacing w:val="-2"/>
                <w:sz w:val="21"/>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45AA6">
            <w:pPr>
              <w:spacing w:line="232" w:lineRule="auto"/>
              <w:jc w:val="right"/>
              <w:rPr>
                <w:rFonts w:ascii="宋体" w:hAnsi="宋体" w:eastAsia="宋体" w:cs="宋体"/>
                <w:color w:val="auto"/>
                <w:spacing w:val="-2"/>
                <w:sz w:val="21"/>
                <w:highlight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CD83A">
            <w:pPr>
              <w:spacing w:line="232" w:lineRule="auto"/>
              <w:jc w:val="right"/>
              <w:rPr>
                <w:rFonts w:ascii="宋体" w:hAnsi="宋体" w:eastAsia="宋体" w:cs="宋体"/>
                <w:color w:val="auto"/>
                <w:spacing w:val="-2"/>
                <w:sz w:val="21"/>
                <w:highlight w:val="none"/>
              </w:rPr>
            </w:pPr>
          </w:p>
        </w:tc>
        <w:tc>
          <w:tcPr>
            <w:tcW w:w="10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BD5DF9">
            <w:pPr>
              <w:spacing w:line="232" w:lineRule="auto"/>
              <w:jc w:val="right"/>
              <w:rPr>
                <w:rFonts w:ascii="宋体" w:hAnsi="宋体" w:eastAsia="宋体" w:cs="宋体"/>
                <w:color w:val="auto"/>
                <w:spacing w:val="-2"/>
                <w:sz w:val="21"/>
                <w:highlight w:val="none"/>
              </w:rPr>
            </w:pPr>
          </w:p>
        </w:tc>
        <w:tc>
          <w:tcPr>
            <w:tcW w:w="855" w:type="dxa"/>
            <w:tcBorders>
              <w:top w:val="single" w:color="000000" w:sz="4" w:space="0"/>
              <w:left w:val="single" w:color="000000" w:sz="4" w:space="0"/>
              <w:bottom w:val="single" w:color="000000" w:sz="4" w:space="0"/>
              <w:right w:val="single" w:color="000000" w:sz="10" w:space="0"/>
            </w:tcBorders>
            <w:shd w:val="clear" w:color="auto" w:fill="auto"/>
            <w:vAlign w:val="center"/>
          </w:tcPr>
          <w:p w14:paraId="3C0A1FA1">
            <w:pPr>
              <w:spacing w:line="232" w:lineRule="auto"/>
              <w:jc w:val="right"/>
              <w:rPr>
                <w:rFonts w:ascii="宋体" w:hAnsi="宋体" w:eastAsia="宋体" w:cs="宋体"/>
                <w:color w:val="auto"/>
                <w:spacing w:val="-2"/>
                <w:sz w:val="21"/>
                <w:highlight w:val="none"/>
              </w:rPr>
            </w:pPr>
          </w:p>
        </w:tc>
      </w:tr>
      <w:tr w14:paraId="62956A80">
        <w:tblPrEx>
          <w:tblCellMar>
            <w:top w:w="0" w:type="dxa"/>
            <w:left w:w="0" w:type="dxa"/>
            <w:bottom w:w="0" w:type="dxa"/>
            <w:right w:w="0" w:type="dxa"/>
          </w:tblCellMar>
        </w:tblPrEx>
        <w:trPr>
          <w:trHeight w:val="444" w:hRule="exact"/>
        </w:trPr>
        <w:tc>
          <w:tcPr>
            <w:tcW w:w="8167" w:type="dxa"/>
            <w:gridSpan w:val="8"/>
            <w:tcBorders>
              <w:top w:val="single" w:color="000000" w:sz="4" w:space="0"/>
              <w:left w:val="single" w:color="000000" w:sz="10" w:space="0"/>
              <w:bottom w:val="single" w:color="000000" w:sz="4" w:space="0"/>
              <w:right w:val="single" w:color="000000" w:sz="4" w:space="0"/>
            </w:tcBorders>
            <w:shd w:val="clear" w:color="auto" w:fill="auto"/>
            <w:vAlign w:val="center"/>
          </w:tcPr>
          <w:p w14:paraId="2D56D98F">
            <w:pPr>
              <w:spacing w:line="232" w:lineRule="auto"/>
              <w:jc w:val="center"/>
              <w:rPr>
                <w:rFonts w:ascii="宋体" w:hAnsi="宋体" w:eastAsia="宋体" w:cs="宋体"/>
                <w:color w:val="auto"/>
                <w:spacing w:val="-2"/>
                <w:sz w:val="21"/>
                <w:highlight w:val="none"/>
              </w:rPr>
            </w:pPr>
            <w:r>
              <w:rPr>
                <w:rFonts w:ascii="宋体" w:hAnsi="宋体" w:eastAsia="宋体" w:cs="宋体"/>
                <w:color w:val="auto"/>
                <w:spacing w:val="-2"/>
                <w:sz w:val="21"/>
                <w:highlight w:val="none"/>
              </w:rPr>
              <w:t>本页小计</w:t>
            </w:r>
          </w:p>
        </w:tc>
        <w:tc>
          <w:tcPr>
            <w:tcW w:w="1011" w:type="dxa"/>
            <w:gridSpan w:val="2"/>
            <w:tcBorders>
              <w:top w:val="single" w:color="000000" w:sz="4" w:space="0"/>
              <w:left w:val="single" w:color="000000" w:sz="4" w:space="0"/>
              <w:bottom w:val="single" w:color="000000" w:sz="4" w:space="0"/>
              <w:right w:val="single" w:color="000000" w:sz="4" w:space="0"/>
            </w:tcBorders>
            <w:shd w:val="clear" w:color="auto" w:fill="auto"/>
          </w:tcPr>
          <w:p w14:paraId="6A4FEA56">
            <w:pPr>
              <w:spacing w:line="232" w:lineRule="auto"/>
              <w:rPr>
                <w:rFonts w:ascii="宋体" w:hAnsi="宋体" w:eastAsia="宋体" w:cs="宋体"/>
                <w:color w:val="auto"/>
                <w:spacing w:val="-2"/>
                <w:sz w:val="21"/>
                <w:highlight w:val="none"/>
              </w:rPr>
            </w:pPr>
          </w:p>
        </w:tc>
        <w:tc>
          <w:tcPr>
            <w:tcW w:w="855" w:type="dxa"/>
            <w:tcBorders>
              <w:top w:val="single" w:color="000000" w:sz="4" w:space="0"/>
              <w:left w:val="single" w:color="000000" w:sz="4" w:space="0"/>
              <w:bottom w:val="single" w:color="000000" w:sz="4" w:space="0"/>
              <w:right w:val="single" w:color="000000" w:sz="10" w:space="0"/>
            </w:tcBorders>
            <w:shd w:val="clear" w:color="auto" w:fill="auto"/>
          </w:tcPr>
          <w:p w14:paraId="0630D2BC">
            <w:pPr>
              <w:spacing w:line="232" w:lineRule="auto"/>
              <w:rPr>
                <w:rFonts w:ascii="宋体" w:hAnsi="宋体" w:eastAsia="宋体" w:cs="宋体"/>
                <w:color w:val="auto"/>
                <w:spacing w:val="-2"/>
                <w:sz w:val="21"/>
                <w:highlight w:val="none"/>
              </w:rPr>
            </w:pPr>
          </w:p>
        </w:tc>
      </w:tr>
      <w:tr w14:paraId="79F1EC5C">
        <w:tblPrEx>
          <w:tblCellMar>
            <w:top w:w="0" w:type="dxa"/>
            <w:left w:w="0" w:type="dxa"/>
            <w:bottom w:w="0" w:type="dxa"/>
            <w:right w:w="0" w:type="dxa"/>
          </w:tblCellMar>
        </w:tblPrEx>
        <w:trPr>
          <w:trHeight w:val="459" w:hRule="exact"/>
        </w:trPr>
        <w:tc>
          <w:tcPr>
            <w:tcW w:w="8167" w:type="dxa"/>
            <w:gridSpan w:val="8"/>
            <w:tcBorders>
              <w:top w:val="single" w:color="000000" w:sz="4" w:space="0"/>
              <w:left w:val="single" w:color="000000" w:sz="10" w:space="0"/>
              <w:bottom w:val="single" w:color="000000" w:sz="10" w:space="0"/>
              <w:right w:val="single" w:color="000000" w:sz="4" w:space="0"/>
            </w:tcBorders>
            <w:shd w:val="clear" w:color="auto" w:fill="auto"/>
            <w:vAlign w:val="center"/>
          </w:tcPr>
          <w:p w14:paraId="33CEF96A">
            <w:pPr>
              <w:spacing w:line="232" w:lineRule="auto"/>
              <w:jc w:val="center"/>
              <w:rPr>
                <w:rFonts w:hint="eastAsia" w:ascii="宋体" w:hAnsi="宋体" w:eastAsia="宋体" w:cs="宋体"/>
                <w:color w:val="auto"/>
                <w:spacing w:val="-2"/>
                <w:sz w:val="21"/>
                <w:highlight w:val="none"/>
                <w:lang w:eastAsia="zh-CN"/>
              </w:rPr>
            </w:pPr>
            <w:r>
              <w:rPr>
                <w:rFonts w:ascii="宋体" w:hAnsi="宋体" w:eastAsia="宋体" w:cs="宋体"/>
                <w:color w:val="auto"/>
                <w:spacing w:val="-2"/>
                <w:sz w:val="21"/>
                <w:highlight w:val="none"/>
              </w:rPr>
              <w:t>合    计</w:t>
            </w:r>
            <w:r>
              <w:rPr>
                <w:rFonts w:hint="eastAsia" w:ascii="宋体" w:hAnsi="宋体" w:eastAsia="宋体" w:cs="宋体"/>
                <w:color w:val="auto"/>
                <w:spacing w:val="-2"/>
                <w:sz w:val="21"/>
                <w:highlight w:val="none"/>
                <w:lang w:eastAsia="zh-CN"/>
              </w:rPr>
              <w:t>（</w:t>
            </w:r>
            <w:r>
              <w:rPr>
                <w:rFonts w:hint="eastAsia" w:ascii="宋体" w:hAnsi="宋体" w:eastAsia="宋体" w:cs="宋体"/>
                <w:color w:val="auto"/>
                <w:spacing w:val="-2"/>
                <w:sz w:val="21"/>
                <w:highlight w:val="none"/>
                <w:lang w:val="en-US" w:eastAsia="zh-CN"/>
              </w:rPr>
              <w:t>总报价</w:t>
            </w:r>
            <w:r>
              <w:rPr>
                <w:rFonts w:hint="eastAsia" w:ascii="宋体" w:hAnsi="宋体" w:eastAsia="宋体" w:cs="宋体"/>
                <w:color w:val="auto"/>
                <w:spacing w:val="-2"/>
                <w:sz w:val="21"/>
                <w:highlight w:val="none"/>
                <w:lang w:eastAsia="zh-CN"/>
              </w:rPr>
              <w:t>）</w:t>
            </w:r>
          </w:p>
        </w:tc>
        <w:tc>
          <w:tcPr>
            <w:tcW w:w="1011" w:type="dxa"/>
            <w:gridSpan w:val="2"/>
            <w:tcBorders>
              <w:top w:val="single" w:color="000000" w:sz="4" w:space="0"/>
              <w:left w:val="single" w:color="000000" w:sz="4" w:space="0"/>
              <w:bottom w:val="single" w:color="000000" w:sz="10" w:space="0"/>
              <w:right w:val="single" w:color="000000" w:sz="4" w:space="0"/>
            </w:tcBorders>
            <w:shd w:val="clear" w:color="auto" w:fill="auto"/>
            <w:vAlign w:val="center"/>
          </w:tcPr>
          <w:p w14:paraId="77826D82">
            <w:pPr>
              <w:spacing w:line="232" w:lineRule="auto"/>
              <w:jc w:val="right"/>
              <w:rPr>
                <w:rFonts w:ascii="宋体" w:hAnsi="宋体" w:eastAsia="宋体" w:cs="宋体"/>
                <w:color w:val="auto"/>
                <w:spacing w:val="-2"/>
                <w:sz w:val="21"/>
                <w:highlight w:val="none"/>
              </w:rPr>
            </w:pPr>
          </w:p>
        </w:tc>
        <w:tc>
          <w:tcPr>
            <w:tcW w:w="855" w:type="dxa"/>
            <w:tcBorders>
              <w:top w:val="single" w:color="000000" w:sz="4" w:space="0"/>
              <w:left w:val="single" w:color="000000" w:sz="4" w:space="0"/>
              <w:bottom w:val="single" w:color="000000" w:sz="10" w:space="0"/>
              <w:right w:val="single" w:color="000000" w:sz="10" w:space="0"/>
            </w:tcBorders>
            <w:shd w:val="clear" w:color="auto" w:fill="auto"/>
            <w:vAlign w:val="center"/>
          </w:tcPr>
          <w:p w14:paraId="1B10375D">
            <w:pPr>
              <w:spacing w:line="232" w:lineRule="auto"/>
              <w:jc w:val="right"/>
              <w:rPr>
                <w:rFonts w:ascii="宋体" w:hAnsi="宋体" w:eastAsia="宋体" w:cs="宋体"/>
                <w:color w:val="auto"/>
                <w:spacing w:val="-2"/>
                <w:sz w:val="21"/>
                <w:highlight w:val="none"/>
              </w:rPr>
            </w:pPr>
          </w:p>
        </w:tc>
      </w:tr>
    </w:tbl>
    <w:p w14:paraId="5BF34B4F">
      <w:pPr>
        <w:pageBreakBefore w:val="0"/>
        <w:kinsoku/>
        <w:overflowPunct/>
        <w:topLinePunct w:val="0"/>
        <w:bidi w:val="0"/>
        <w:spacing w:line="380" w:lineRule="exact"/>
        <w:jc w:val="left"/>
        <w:rPr>
          <w:rFonts w:hint="eastAsia" w:ascii="仿宋" w:hAnsi="仿宋" w:eastAsia="仿宋" w:cs="仿宋"/>
          <w:b w:val="0"/>
          <w:bCs w:val="0"/>
          <w:color w:val="auto"/>
          <w:kern w:val="0"/>
          <w:sz w:val="22"/>
          <w:szCs w:val="22"/>
          <w:highlight w:val="none"/>
        </w:rPr>
      </w:pPr>
      <w:r>
        <w:rPr>
          <w:rFonts w:hint="eastAsia" w:ascii="仿宋" w:hAnsi="仿宋" w:eastAsia="仿宋" w:cs="仿宋"/>
          <w:color w:val="auto"/>
          <w:sz w:val="22"/>
          <w:szCs w:val="22"/>
          <w:highlight w:val="none"/>
        </w:rPr>
        <w:t>注：</w:t>
      </w:r>
      <w:r>
        <w:rPr>
          <w:rFonts w:hint="eastAsia" w:ascii="仿宋" w:hAnsi="仿宋" w:eastAsia="仿宋" w:cs="仿宋"/>
          <w:b w:val="0"/>
          <w:bCs w:val="0"/>
          <w:color w:val="auto"/>
          <w:kern w:val="0"/>
          <w:sz w:val="22"/>
          <w:szCs w:val="22"/>
          <w:highlight w:val="none"/>
        </w:rPr>
        <w:t>自行现场勘查。</w:t>
      </w:r>
    </w:p>
    <w:p w14:paraId="26EE1F12">
      <w:pPr>
        <w:pageBreakBefore w:val="0"/>
        <w:kinsoku/>
        <w:overflowPunct/>
        <w:topLinePunct w:val="0"/>
        <w:bidi w:val="0"/>
        <w:spacing w:line="380" w:lineRule="exact"/>
        <w:jc w:val="left"/>
        <w:rPr>
          <w:rFonts w:ascii="仿宋" w:hAnsi="仿宋" w:eastAsia="仿宋" w:cs="仿宋"/>
          <w:color w:val="auto"/>
          <w:sz w:val="22"/>
          <w:szCs w:val="22"/>
          <w:highlight w:val="none"/>
        </w:rPr>
      </w:pPr>
      <w:r>
        <w:rPr>
          <w:rFonts w:ascii="仿宋" w:hAnsi="仿宋" w:eastAsia="仿宋" w:cs="仿宋"/>
          <w:color w:val="auto"/>
          <w:sz w:val="22"/>
          <w:szCs w:val="22"/>
          <w:highlight w:val="none"/>
        </w:rPr>
        <w:t>本项目按全费用报价。全费用单价：其应包括但不限于按国家规范完成本项目所有的人工、材料以及完成实体工程量的辅助材料、机械设备、管理费、利润、运输、脚手架费、模板、税金、二次搬运、清理、保洁、培训费、交通费用、差旅费用、绿化迁移及恢复费、安全文明施工费、税费以及各项措施项目费、风险和政策性文件规定的各项应有费用。全费用工程量清单中每一个子目和单项均需计算填写单价、合价。每道工序均需要业主或监理签证确认后再进行下一道工序，每道工序业主或监理未确认工程款不予支付。</w:t>
      </w:r>
    </w:p>
    <w:p w14:paraId="22F4E247">
      <w:pPr>
        <w:pageBreakBefore w:val="0"/>
        <w:kinsoku/>
        <w:overflowPunct/>
        <w:topLinePunct w:val="0"/>
        <w:bidi w:val="0"/>
        <w:spacing w:line="380" w:lineRule="exact"/>
        <w:jc w:val="center"/>
        <w:rPr>
          <w:rFonts w:hint="eastAsia" w:ascii="仿宋" w:hAnsi="仿宋" w:eastAsia="仿宋" w:cs="仿宋"/>
          <w:color w:val="auto"/>
          <w:sz w:val="22"/>
          <w:szCs w:val="22"/>
          <w:highlight w:val="none"/>
          <w:lang w:val="en-US" w:eastAsia="zh-CN"/>
        </w:rPr>
      </w:pPr>
    </w:p>
    <w:p w14:paraId="3E19014E">
      <w:pPr>
        <w:pageBreakBefore w:val="0"/>
        <w:kinsoku/>
        <w:overflowPunct/>
        <w:topLinePunct w:val="0"/>
        <w:bidi w:val="0"/>
        <w:spacing w:line="380" w:lineRule="exact"/>
        <w:jc w:val="center"/>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en-US" w:eastAsia="zh-CN"/>
        </w:rPr>
        <w:t xml:space="preserve">                        供应商名称</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u w:val="single"/>
          <w:lang w:val="zh-CN"/>
        </w:rPr>
        <w:t xml:space="preserve">        （电子签章）     </w:t>
      </w:r>
    </w:p>
    <w:p w14:paraId="620C263C">
      <w:pPr>
        <w:pageBreakBefore w:val="0"/>
        <w:kinsoku/>
        <w:overflowPunct/>
        <w:topLinePunct w:val="0"/>
        <w:bidi w:val="0"/>
        <w:spacing w:line="380" w:lineRule="exact"/>
        <w:jc w:val="center"/>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                          </w:t>
      </w:r>
      <w:r>
        <w:rPr>
          <w:rFonts w:hint="eastAsia" w:ascii="仿宋" w:hAnsi="仿宋" w:eastAsia="仿宋" w:cs="仿宋"/>
          <w:color w:val="auto"/>
          <w:sz w:val="22"/>
          <w:szCs w:val="22"/>
          <w:highlight w:val="none"/>
        </w:rPr>
        <w:t>法定代表人</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single"/>
        </w:rPr>
        <w:t>（电子签章或电子签字）</w:t>
      </w:r>
    </w:p>
    <w:p w14:paraId="4276A888">
      <w:pPr>
        <w:pageBreakBefore w:val="0"/>
        <w:kinsoku/>
        <w:overflowPunct/>
        <w:topLinePunct w:val="0"/>
        <w:bidi w:val="0"/>
        <w:spacing w:line="380" w:lineRule="exact"/>
        <w:jc w:val="center"/>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                        日期：</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年 </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月</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日</w:t>
      </w:r>
    </w:p>
    <w:p w14:paraId="39F36D69">
      <w:pPr>
        <w:pageBreakBefore w:val="0"/>
        <w:kinsoku/>
        <w:overflowPunct/>
        <w:topLinePunct w:val="0"/>
        <w:bidi w:val="0"/>
        <w:spacing w:line="380" w:lineRule="exact"/>
        <w:jc w:val="center"/>
        <w:rPr>
          <w:rFonts w:hint="eastAsia" w:ascii="仿宋" w:hAnsi="仿宋" w:eastAsia="仿宋" w:cs="仿宋"/>
          <w:color w:val="auto"/>
          <w:sz w:val="28"/>
          <w:szCs w:val="28"/>
          <w:highlight w:val="none"/>
          <w:lang w:val="zh-CN"/>
        </w:rPr>
      </w:pPr>
    </w:p>
    <w:p w14:paraId="0225C2F9">
      <w:pPr>
        <w:pStyle w:val="9"/>
        <w:pageBreakBefore w:val="0"/>
        <w:numPr>
          <w:ilvl w:val="0"/>
          <w:numId w:val="0"/>
        </w:numPr>
        <w:kinsoku/>
        <w:overflowPunct/>
        <w:topLinePunct w:val="0"/>
        <w:bidi w:val="0"/>
        <w:spacing w:line="380" w:lineRule="exact"/>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color w:val="auto"/>
          <w:sz w:val="28"/>
          <w:szCs w:val="28"/>
          <w:highlight w:val="none"/>
          <w:lang w:val="en-US" w:eastAsia="zh-CN"/>
        </w:rPr>
        <w:t xml:space="preserve"> </w:t>
      </w:r>
    </w:p>
    <w:p w14:paraId="6E9EA9CA">
      <w:pPr>
        <w:pageBreakBefore w:val="0"/>
        <w:kinsoku/>
        <w:overflowPunct/>
        <w:topLinePunct w:val="0"/>
        <w:bidi w:val="0"/>
        <w:spacing w:line="380" w:lineRule="exact"/>
        <w:rPr>
          <w:rFonts w:hint="eastAsia" w:ascii="仿宋" w:hAnsi="仿宋" w:eastAsia="仿宋" w:cs="仿宋"/>
          <w:b/>
          <w:color w:val="auto"/>
          <w:sz w:val="30"/>
          <w:szCs w:val="30"/>
          <w:highlight w:val="none"/>
          <w:lang w:val="en-US" w:eastAsia="zh-CN"/>
        </w:rPr>
      </w:pPr>
      <w:r>
        <w:rPr>
          <w:rFonts w:hint="eastAsia" w:ascii="仿宋" w:hAnsi="仿宋" w:eastAsia="仿宋" w:cs="仿宋"/>
          <w:b/>
          <w:color w:val="auto"/>
          <w:sz w:val="30"/>
          <w:szCs w:val="30"/>
          <w:highlight w:val="none"/>
          <w:lang w:val="en-US" w:eastAsia="zh-CN"/>
        </w:rPr>
        <w:br w:type="page"/>
      </w:r>
    </w:p>
    <w:p w14:paraId="117006D1">
      <w:pPr>
        <w:pStyle w:val="9"/>
        <w:pageBreakBefore w:val="0"/>
        <w:kinsoku/>
        <w:overflowPunct/>
        <w:topLinePunct w:val="0"/>
        <w:bidi w:val="0"/>
        <w:spacing w:line="380" w:lineRule="exact"/>
        <w:ind w:firstLine="301" w:firstLineChars="100"/>
        <w:jc w:val="center"/>
        <w:outlineLvl w:val="1"/>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lang w:val="en-US" w:eastAsia="zh-CN"/>
        </w:rPr>
        <w:t>四</w:t>
      </w:r>
      <w:r>
        <w:rPr>
          <w:rFonts w:hint="eastAsia" w:ascii="仿宋" w:hAnsi="仿宋" w:eastAsia="仿宋" w:cs="仿宋"/>
          <w:b/>
          <w:color w:val="auto"/>
          <w:sz w:val="30"/>
          <w:szCs w:val="30"/>
          <w:highlight w:val="none"/>
        </w:rPr>
        <w:t>、供应商必须提交的资格证明文件</w:t>
      </w:r>
    </w:p>
    <w:p w14:paraId="45E6DDA4">
      <w:pPr>
        <w:pStyle w:val="37"/>
        <w:pageBreakBefore w:val="0"/>
        <w:kinsoku/>
        <w:overflowPunct/>
        <w:topLinePunct w:val="0"/>
        <w:bidi w:val="0"/>
        <w:spacing w:line="380" w:lineRule="exact"/>
        <w:ind w:firstLine="0" w:firstLineChars="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按照竞争性磋商文件第一章磋商邀请二、申请人的资格要求提供</w:t>
      </w:r>
    </w:p>
    <w:p w14:paraId="2ECA245A">
      <w:pPr>
        <w:pageBreakBefore w:val="0"/>
        <w:kinsoku/>
        <w:overflowPunct/>
        <w:topLinePunct w:val="0"/>
        <w:bidi w:val="0"/>
        <w:spacing w:line="380" w:lineRule="exact"/>
        <w:rPr>
          <w:rFonts w:hint="eastAsia" w:ascii="仿宋" w:hAnsi="仿宋" w:eastAsia="仿宋" w:cs="仿宋"/>
          <w:color w:val="auto"/>
          <w:highlight w:val="none"/>
        </w:rPr>
      </w:pPr>
    </w:p>
    <w:p w14:paraId="25B469F1">
      <w:pPr>
        <w:pageBreakBefore w:val="0"/>
        <w:widowControl/>
        <w:kinsoku/>
        <w:overflowPunct/>
        <w:topLinePunct w:val="0"/>
        <w:bidi w:val="0"/>
        <w:spacing w:line="380" w:lineRule="exact"/>
        <w:ind w:left="1260" w:firstLine="643"/>
        <w:jc w:val="lef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五、</w:t>
      </w:r>
      <w:r>
        <w:rPr>
          <w:rFonts w:hint="eastAsia" w:ascii="仿宋" w:hAnsi="仿宋" w:eastAsia="仿宋" w:cs="仿宋"/>
          <w:b/>
          <w:bCs/>
          <w:color w:val="auto"/>
          <w:sz w:val="32"/>
          <w:szCs w:val="32"/>
          <w:highlight w:val="none"/>
        </w:rPr>
        <w:t>综合评分时</w:t>
      </w:r>
      <w:r>
        <w:rPr>
          <w:rFonts w:hint="eastAsia" w:ascii="仿宋" w:hAnsi="仿宋" w:eastAsia="仿宋" w:cs="仿宋"/>
          <w:b/>
          <w:bCs/>
          <w:color w:val="auto"/>
          <w:sz w:val="32"/>
          <w:szCs w:val="32"/>
          <w:highlight w:val="none"/>
          <w:lang w:val="en-US" w:eastAsia="zh-CN"/>
        </w:rPr>
        <w:t>供应商</w:t>
      </w:r>
      <w:r>
        <w:rPr>
          <w:rFonts w:hint="eastAsia" w:ascii="仿宋" w:hAnsi="仿宋" w:eastAsia="仿宋" w:cs="仿宋"/>
          <w:b/>
          <w:bCs/>
          <w:color w:val="auto"/>
          <w:sz w:val="32"/>
          <w:szCs w:val="32"/>
          <w:highlight w:val="none"/>
        </w:rPr>
        <w:t>需提供的证明文件</w:t>
      </w:r>
    </w:p>
    <w:p w14:paraId="2C8723C8">
      <w:pPr>
        <w:pageBreakBefore w:val="0"/>
        <w:kinsoku/>
        <w:overflowPunct/>
        <w:topLinePunct w:val="0"/>
        <w:bidi w:val="0"/>
        <w:spacing w:line="380" w:lineRule="exact"/>
        <w:ind w:firstLine="643"/>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w:t>
      </w:r>
      <w:r>
        <w:rPr>
          <w:rFonts w:hint="eastAsia" w:ascii="仿宋" w:hAnsi="仿宋" w:eastAsia="仿宋" w:cs="仿宋"/>
          <w:b/>
          <w:bCs/>
          <w:color w:val="auto"/>
          <w:sz w:val="28"/>
          <w:szCs w:val="28"/>
          <w:highlight w:val="none"/>
        </w:rPr>
        <w:t>各</w:t>
      </w:r>
      <w:r>
        <w:rPr>
          <w:rFonts w:hint="eastAsia" w:ascii="仿宋" w:hAnsi="仿宋" w:eastAsia="仿宋" w:cs="仿宋"/>
          <w:b/>
          <w:bCs/>
          <w:color w:val="auto"/>
          <w:sz w:val="28"/>
          <w:szCs w:val="28"/>
          <w:highlight w:val="none"/>
          <w:lang w:val="en-US" w:eastAsia="zh-CN"/>
        </w:rPr>
        <w:t>供应商</w:t>
      </w:r>
      <w:r>
        <w:rPr>
          <w:rFonts w:hint="eastAsia" w:ascii="仿宋" w:hAnsi="仿宋" w:eastAsia="仿宋" w:cs="仿宋"/>
          <w:b/>
          <w:bCs/>
          <w:color w:val="auto"/>
          <w:sz w:val="28"/>
          <w:szCs w:val="28"/>
          <w:highlight w:val="none"/>
        </w:rPr>
        <w:t>必须在“综合评分提供的证明材料”模块中对应的接口上传相关证明材料，未在指定模块中上传材料的视同未提供证明材料处理</w:t>
      </w:r>
      <w:r>
        <w:rPr>
          <w:rFonts w:hint="eastAsia" w:ascii="仿宋" w:hAnsi="仿宋" w:eastAsia="仿宋" w:cs="仿宋"/>
          <w:b/>
          <w:bCs/>
          <w:color w:val="auto"/>
          <w:sz w:val="32"/>
          <w:szCs w:val="32"/>
          <w:highlight w:val="none"/>
        </w:rPr>
        <w:t>）</w:t>
      </w:r>
    </w:p>
    <w:p w14:paraId="3EE2092A">
      <w:pPr>
        <w:pageBreakBefore w:val="0"/>
        <w:widowControl/>
        <w:kinsoku/>
        <w:overflowPunct/>
        <w:topLinePunct w:val="0"/>
        <w:bidi w:val="0"/>
        <w:spacing w:line="380" w:lineRule="exact"/>
        <w:ind w:firstLine="1108"/>
        <w:jc w:val="center"/>
        <w:rPr>
          <w:rFonts w:hint="eastAsia" w:ascii="仿宋" w:hAnsi="仿宋" w:eastAsia="仿宋" w:cs="仿宋"/>
          <w:b/>
          <w:bCs/>
          <w:color w:val="auto"/>
          <w:sz w:val="32"/>
          <w:highlight w:val="none"/>
          <w:lang w:val="en-US" w:eastAsia="zh-CN"/>
        </w:rPr>
      </w:pPr>
    </w:p>
    <w:p w14:paraId="48638CBA">
      <w:pPr>
        <w:pageBreakBefore w:val="0"/>
        <w:widowControl/>
        <w:kinsoku/>
        <w:overflowPunct/>
        <w:topLinePunct w:val="0"/>
        <w:bidi w:val="0"/>
        <w:spacing w:line="380" w:lineRule="exact"/>
        <w:ind w:firstLine="1108"/>
        <w:jc w:val="center"/>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六、供应商</w:t>
      </w:r>
      <w:r>
        <w:rPr>
          <w:rFonts w:hint="eastAsia" w:ascii="仿宋" w:hAnsi="仿宋" w:eastAsia="仿宋" w:cs="仿宋"/>
          <w:b/>
          <w:bCs/>
          <w:color w:val="auto"/>
          <w:sz w:val="32"/>
          <w:highlight w:val="none"/>
        </w:rPr>
        <w:t>认为有必要提供并说明</w:t>
      </w:r>
      <w:r>
        <w:rPr>
          <w:rFonts w:hint="eastAsia" w:ascii="仿宋" w:hAnsi="仿宋" w:eastAsia="仿宋" w:cs="仿宋"/>
          <w:b/>
          <w:bCs/>
          <w:color w:val="auto"/>
          <w:sz w:val="32"/>
          <w:highlight w:val="none"/>
          <w:lang w:eastAsia="zh-CN"/>
        </w:rPr>
        <w:t>的其他</w:t>
      </w:r>
      <w:r>
        <w:rPr>
          <w:rFonts w:hint="eastAsia" w:ascii="仿宋" w:hAnsi="仿宋" w:eastAsia="仿宋" w:cs="仿宋"/>
          <w:b/>
          <w:bCs/>
          <w:color w:val="auto"/>
          <w:sz w:val="32"/>
          <w:highlight w:val="none"/>
        </w:rPr>
        <w:t>资料</w:t>
      </w:r>
    </w:p>
    <w:p w14:paraId="52D97BE0">
      <w:pPr>
        <w:pageBreakBefore w:val="0"/>
        <w:widowControl/>
        <w:kinsoku/>
        <w:overflowPunct/>
        <w:topLinePunct w:val="0"/>
        <w:bidi w:val="0"/>
        <w:spacing w:line="380" w:lineRule="exact"/>
        <w:jc w:val="left"/>
        <w:rPr>
          <w:rFonts w:hint="eastAsia" w:ascii="仿宋" w:hAnsi="仿宋" w:eastAsia="仿宋" w:cs="仿宋"/>
          <w:color w:val="auto"/>
          <w:highlight w:val="none"/>
          <w:lang w:val="en-US" w:eastAsia="zh-CN"/>
        </w:rPr>
        <w:sectPr>
          <w:footerReference r:id="rId5" w:type="default"/>
          <w:pgSz w:w="11906" w:h="16838"/>
          <w:pgMar w:top="1134" w:right="1247" w:bottom="1134" w:left="1247"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color w:val="auto"/>
          <w:sz w:val="28"/>
          <w:highlight w:val="none"/>
        </w:rPr>
        <w:t>（如需上传</w:t>
      </w:r>
      <w:r>
        <w:rPr>
          <w:rFonts w:hint="eastAsia" w:ascii="仿宋" w:hAnsi="仿宋" w:eastAsia="仿宋" w:cs="仿宋"/>
          <w:color w:val="auto"/>
          <w:sz w:val="28"/>
          <w:highlight w:val="none"/>
          <w:lang w:eastAsia="zh-CN"/>
        </w:rPr>
        <w:t>其他</w:t>
      </w:r>
      <w:r>
        <w:rPr>
          <w:rFonts w:hint="eastAsia" w:ascii="仿宋" w:hAnsi="仿宋" w:eastAsia="仿宋" w:cs="仿宋"/>
          <w:color w:val="auto"/>
          <w:sz w:val="28"/>
          <w:highlight w:val="none"/>
        </w:rPr>
        <w:t>资料，可在“招标文件的其他材料”模块中上传相关材料，格式由投标人自定，加盖投标人</w:t>
      </w:r>
      <w:r>
        <w:rPr>
          <w:rFonts w:hint="eastAsia" w:ascii="仿宋" w:hAnsi="仿宋" w:eastAsia="仿宋" w:cs="仿宋"/>
          <w:bCs/>
          <w:color w:val="auto"/>
          <w:sz w:val="28"/>
          <w:szCs w:val="28"/>
          <w:highlight w:val="none"/>
        </w:rPr>
        <w:t>电子签章</w:t>
      </w:r>
      <w:r>
        <w:rPr>
          <w:rFonts w:hint="eastAsia" w:ascii="仿宋" w:hAnsi="仿宋" w:eastAsia="仿宋" w:cs="仿宋"/>
          <w:color w:val="auto"/>
          <w:sz w:val="28"/>
          <w:highlight w:val="none"/>
        </w:rPr>
        <w:t>）</w:t>
      </w:r>
    </w:p>
    <w:p w14:paraId="24D971C3">
      <w:pPr>
        <w:pageBreakBefore w:val="0"/>
        <w:kinsoku/>
        <w:overflowPunct/>
        <w:topLinePunct w:val="0"/>
        <w:bidi w:val="0"/>
        <w:spacing w:line="380" w:lineRule="exact"/>
        <w:jc w:val="left"/>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 xml:space="preserve">示范格式一  </w:t>
      </w:r>
      <w:r>
        <w:rPr>
          <w:rFonts w:hint="eastAsia" w:ascii="仿宋" w:hAnsi="仿宋" w:eastAsia="仿宋" w:cs="仿宋"/>
          <w:color w:val="auto"/>
          <w:sz w:val="30"/>
          <w:szCs w:val="30"/>
          <w:highlight w:val="none"/>
        </w:rPr>
        <w:t xml:space="preserve">      </w:t>
      </w:r>
    </w:p>
    <w:p w14:paraId="348B037B">
      <w:pPr>
        <w:pageBreakBefore w:val="0"/>
        <w:kinsoku/>
        <w:overflowPunct/>
        <w:topLinePunct w:val="0"/>
        <w:bidi w:val="0"/>
        <w:spacing w:line="380" w:lineRule="exact"/>
        <w:ind w:firstLine="2891"/>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法定代表人资格证明</w:t>
      </w:r>
    </w:p>
    <w:p w14:paraId="1875D18F">
      <w:pPr>
        <w:pageBreakBefore w:val="0"/>
        <w:widowControl w:val="0"/>
        <w:kinsoku/>
        <w:wordWrap/>
        <w:overflowPunct/>
        <w:topLinePunct w:val="0"/>
        <w:autoSpaceDE w:val="0"/>
        <w:autoSpaceDN w:val="0"/>
        <w:bidi w:val="0"/>
        <w:adjustRightInd w:val="0"/>
        <w:spacing w:line="480" w:lineRule="exact"/>
        <w:textAlignment w:val="auto"/>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单位名称：</w:t>
      </w:r>
    </w:p>
    <w:p w14:paraId="1E1D81F8">
      <w:pPr>
        <w:pageBreakBefore w:val="0"/>
        <w:widowControl w:val="0"/>
        <w:kinsoku/>
        <w:wordWrap/>
        <w:overflowPunct/>
        <w:topLinePunct w:val="0"/>
        <w:autoSpaceDE w:val="0"/>
        <w:autoSpaceDN w:val="0"/>
        <w:bidi w:val="0"/>
        <w:adjustRightInd w:val="0"/>
        <w:spacing w:line="480" w:lineRule="exact"/>
        <w:textAlignment w:val="auto"/>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地址：</w:t>
      </w:r>
    </w:p>
    <w:p w14:paraId="4A0BCAEE">
      <w:pPr>
        <w:pageBreakBefore w:val="0"/>
        <w:widowControl w:val="0"/>
        <w:kinsoku/>
        <w:wordWrap/>
        <w:overflowPunct/>
        <w:topLinePunct w:val="0"/>
        <w:autoSpaceDE w:val="0"/>
        <w:autoSpaceDN w:val="0"/>
        <w:bidi w:val="0"/>
        <w:adjustRightInd w:val="0"/>
        <w:spacing w:line="480" w:lineRule="exact"/>
        <w:textAlignment w:val="auto"/>
        <w:rPr>
          <w:rFonts w:hint="default" w:ascii="仿宋" w:hAnsi="仿宋" w:eastAsia="仿宋" w:cs="楷体_GB2312"/>
          <w:color w:val="auto"/>
          <w:sz w:val="28"/>
          <w:szCs w:val="28"/>
          <w:highlight w:val="none"/>
          <w:lang w:val="en-US" w:eastAsia="zh-CN"/>
        </w:rPr>
      </w:pPr>
      <w:r>
        <w:rPr>
          <w:rFonts w:hint="eastAsia" w:ascii="仿宋" w:hAnsi="仿宋" w:eastAsia="仿宋" w:cs="楷体_GB2312"/>
          <w:color w:val="auto"/>
          <w:sz w:val="28"/>
          <w:szCs w:val="28"/>
          <w:highlight w:val="none"/>
          <w:lang w:val="zh-CN"/>
        </w:rPr>
        <w:t>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职务：</w:t>
      </w:r>
      <w:r>
        <w:rPr>
          <w:rFonts w:hint="eastAsia" w:ascii="仿宋" w:hAnsi="仿宋" w:eastAsia="仿宋" w:cs="楷体_GB2312"/>
          <w:color w:val="auto"/>
          <w:sz w:val="28"/>
          <w:szCs w:val="28"/>
          <w:highlight w:val="none"/>
          <w:lang w:val="en-US" w:eastAsia="zh-CN"/>
        </w:rPr>
        <w:t xml:space="preserve">     电话：</w:t>
      </w:r>
    </w:p>
    <w:p w14:paraId="16664514">
      <w:pPr>
        <w:pageBreakBefore w:val="0"/>
        <w:widowControl w:val="0"/>
        <w:kinsoku/>
        <w:wordWrap/>
        <w:overflowPunct/>
        <w:topLinePunct w:val="0"/>
        <w:bidi w:val="0"/>
        <w:spacing w:line="480" w:lineRule="exact"/>
        <w:ind w:left="1" w:firstLine="560" w:firstLineChars="200"/>
        <w:textAlignment w:val="auto"/>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（投标人单位名称）</w:t>
      </w:r>
      <w:r>
        <w:rPr>
          <w:rFonts w:hint="eastAsia" w:ascii="仿宋" w:hAnsi="仿宋" w:eastAsia="仿宋" w:cs="楷体_GB2312"/>
          <w:color w:val="auto"/>
          <w:sz w:val="28"/>
          <w:szCs w:val="28"/>
          <w:highlight w:val="none"/>
          <w:lang w:val="zh-CN"/>
        </w:rPr>
        <w:t>的法定代表人。</w:t>
      </w:r>
      <w:r>
        <w:rPr>
          <w:rFonts w:hint="eastAsia" w:ascii="仿宋" w:hAnsi="仿宋" w:eastAsia="仿宋"/>
          <w:color w:val="auto"/>
          <w:sz w:val="28"/>
          <w:highlight w:val="none"/>
        </w:rPr>
        <w:t>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项目，签署上述项目的投标文件、进行招标、签署合同和处理与之有关的一切事务。</w:t>
      </w:r>
    </w:p>
    <w:p w14:paraId="36DB4136">
      <w:pPr>
        <w:pageBreakBefore w:val="0"/>
        <w:widowControl w:val="0"/>
        <w:kinsoku/>
        <w:wordWrap/>
        <w:overflowPunct/>
        <w:topLinePunct w:val="0"/>
        <w:autoSpaceDE w:val="0"/>
        <w:autoSpaceDN w:val="0"/>
        <w:bidi w:val="0"/>
        <w:adjustRightInd w:val="0"/>
        <w:spacing w:line="480" w:lineRule="exact"/>
        <w:ind w:firstLine="280"/>
        <w:textAlignment w:val="auto"/>
        <w:rPr>
          <w:rFonts w:ascii="仿宋" w:hAnsi="仿宋" w:eastAsia="仿宋" w:cs="楷体_GB2312"/>
          <w:color w:val="auto"/>
          <w:sz w:val="28"/>
          <w:szCs w:val="28"/>
          <w:highlight w:val="none"/>
        </w:rPr>
      </w:pPr>
    </w:p>
    <w:p w14:paraId="4C5A0D30">
      <w:pPr>
        <w:pageBreakBefore w:val="0"/>
        <w:widowControl w:val="0"/>
        <w:kinsoku/>
        <w:wordWrap/>
        <w:overflowPunct/>
        <w:topLinePunct w:val="0"/>
        <w:autoSpaceDE w:val="0"/>
        <w:autoSpaceDN w:val="0"/>
        <w:bidi w:val="0"/>
        <w:adjustRightInd w:val="0"/>
        <w:spacing w:line="480" w:lineRule="exact"/>
        <w:textAlignment w:val="auto"/>
        <w:rPr>
          <w:rFonts w:hint="eastAsia" w:ascii="仿宋" w:hAnsi="仿宋" w:eastAsia="仿宋" w:cs="楷体_GB2312"/>
          <w:color w:val="auto"/>
          <w:sz w:val="28"/>
          <w:szCs w:val="28"/>
          <w:highlight w:val="none"/>
          <w:lang w:val="zh-CN"/>
        </w:rPr>
      </w:pPr>
    </w:p>
    <w:p w14:paraId="26A10B7C">
      <w:pPr>
        <w:pageBreakBefore w:val="0"/>
        <w:widowControl w:val="0"/>
        <w:kinsoku/>
        <w:wordWrap/>
        <w:overflowPunct/>
        <w:topLinePunct w:val="0"/>
        <w:autoSpaceDE w:val="0"/>
        <w:autoSpaceDN w:val="0"/>
        <w:bidi w:val="0"/>
        <w:adjustRightInd w:val="0"/>
        <w:spacing w:line="480" w:lineRule="exact"/>
        <w:ind w:firstLine="280"/>
        <w:textAlignment w:val="auto"/>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特此证明。</w:t>
      </w:r>
    </w:p>
    <w:p w14:paraId="0B524BA4">
      <w:pPr>
        <w:pageBreakBefore w:val="0"/>
        <w:widowControl w:val="0"/>
        <w:kinsoku/>
        <w:wordWrap/>
        <w:overflowPunct/>
        <w:topLinePunct w:val="0"/>
        <w:autoSpaceDE w:val="0"/>
        <w:autoSpaceDN w:val="0"/>
        <w:bidi w:val="0"/>
        <w:adjustRightInd w:val="0"/>
        <w:spacing w:line="480" w:lineRule="exact"/>
        <w:jc w:val="center"/>
        <w:textAlignment w:val="auto"/>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p>
    <w:p w14:paraId="779C349C">
      <w:pPr>
        <w:pageBreakBefore w:val="0"/>
        <w:widowControl w:val="0"/>
        <w:kinsoku/>
        <w:wordWrap/>
        <w:overflowPunct/>
        <w:topLinePunct w:val="0"/>
        <w:autoSpaceDE w:val="0"/>
        <w:autoSpaceDN w:val="0"/>
        <w:bidi w:val="0"/>
        <w:adjustRightInd w:val="0"/>
        <w:spacing w:line="480" w:lineRule="exact"/>
        <w:jc w:val="center"/>
        <w:textAlignment w:val="auto"/>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p>
    <w:p w14:paraId="33703C19">
      <w:pPr>
        <w:pageBreakBefore w:val="0"/>
        <w:widowControl w:val="0"/>
        <w:kinsoku/>
        <w:wordWrap/>
        <w:overflowPunct/>
        <w:topLinePunct w:val="0"/>
        <w:autoSpaceDE w:val="0"/>
        <w:autoSpaceDN w:val="0"/>
        <w:bidi w:val="0"/>
        <w:adjustRightInd w:val="0"/>
        <w:spacing w:line="480" w:lineRule="exact"/>
        <w:jc w:val="center"/>
        <w:textAlignment w:val="auto"/>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15588C57">
      <w:pPr>
        <w:pStyle w:val="40"/>
        <w:pageBreakBefore w:val="0"/>
        <w:widowControl w:val="0"/>
        <w:kinsoku/>
        <w:wordWrap/>
        <w:overflowPunct/>
        <w:topLinePunct w:val="0"/>
        <w:bidi w:val="0"/>
        <w:spacing w:before="0" w:after="0" w:line="480" w:lineRule="exact"/>
        <w:ind w:left="4760" w:right="560" w:hanging="1820"/>
        <w:textAlignment w:val="auto"/>
        <w:rPr>
          <w:rFonts w:hint="eastAsia" w:ascii="仿宋" w:hAnsi="仿宋" w:eastAsia="仿宋" w:cs="仿宋"/>
          <w:color w:val="auto"/>
          <w:sz w:val="28"/>
          <w:szCs w:val="28"/>
          <w:highlight w:val="none"/>
          <w:lang w:val="zh-CN"/>
        </w:rPr>
      </w:pPr>
    </w:p>
    <w:p w14:paraId="1F819648">
      <w:pPr>
        <w:pageBreakBefore w:val="0"/>
        <w:widowControl w:val="0"/>
        <w:kinsoku/>
        <w:wordWrap/>
        <w:overflowPunct/>
        <w:topLinePunct w:val="0"/>
        <w:bidi w:val="0"/>
        <w:spacing w:line="480" w:lineRule="exact"/>
        <w:jc w:val="center"/>
        <w:textAlignment w:val="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p>
    <w:p w14:paraId="1D772812">
      <w:pPr>
        <w:pageBreakBefore w:val="0"/>
        <w:widowControl w:val="0"/>
        <w:kinsoku/>
        <w:wordWrap/>
        <w:overflowPunct/>
        <w:topLinePunct w:val="0"/>
        <w:bidi w:val="0"/>
        <w:spacing w:line="480" w:lineRule="exact"/>
        <w:ind w:firstLine="560"/>
        <w:textAlignment w:val="auto"/>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highlight w:val="none"/>
        </w:rPr>
        <w:t>注</w:t>
      </w:r>
      <w:r>
        <w:rPr>
          <w:rFonts w:hint="eastAsia" w:ascii="仿宋" w:hAnsi="仿宋" w:eastAsia="仿宋" w:cs="仿宋"/>
          <w:b/>
          <w:bCs w:val="0"/>
          <w:color w:val="auto"/>
          <w:sz w:val="28"/>
          <w:highlight w:val="none"/>
          <w:lang w:eastAsia="zh-CN"/>
        </w:rPr>
        <w:t>：</w:t>
      </w:r>
      <w:r>
        <w:rPr>
          <w:rFonts w:hint="eastAsia" w:ascii="仿宋" w:hAnsi="仿宋" w:eastAsia="仿宋" w:cs="仿宋"/>
          <w:b/>
          <w:bCs w:val="0"/>
          <w:color w:val="auto"/>
          <w:sz w:val="28"/>
          <w:highlight w:val="none"/>
        </w:rPr>
        <w:t>投标人法定代表人</w:t>
      </w:r>
      <w:r>
        <w:rPr>
          <w:rFonts w:hint="eastAsia" w:ascii="仿宋" w:hAnsi="仿宋" w:eastAsia="仿宋" w:cs="仿宋"/>
          <w:b/>
          <w:bCs w:val="0"/>
          <w:color w:val="auto"/>
          <w:sz w:val="28"/>
          <w:szCs w:val="28"/>
          <w:highlight w:val="none"/>
        </w:rPr>
        <w:t>参加投标的，必须附</w:t>
      </w:r>
      <w:r>
        <w:rPr>
          <w:rFonts w:hint="eastAsia" w:ascii="仿宋" w:hAnsi="仿宋" w:eastAsia="仿宋" w:cs="仿宋"/>
          <w:b/>
          <w:bCs w:val="0"/>
          <w:color w:val="auto"/>
          <w:sz w:val="28"/>
          <w:highlight w:val="none"/>
        </w:rPr>
        <w:t>法定代表人</w:t>
      </w:r>
      <w:r>
        <w:rPr>
          <w:rFonts w:hint="eastAsia" w:ascii="仿宋" w:hAnsi="仿宋" w:eastAsia="仿宋" w:cs="仿宋"/>
          <w:b/>
          <w:bCs w:val="0"/>
          <w:color w:val="auto"/>
          <w:sz w:val="28"/>
          <w:szCs w:val="28"/>
          <w:highlight w:val="none"/>
        </w:rPr>
        <w:t>身份证扫描件加盖投标人电子签章。法定代表人授权其他人参加投标的，仅需填写“授权委托书”。</w:t>
      </w:r>
    </w:p>
    <w:p w14:paraId="27714CC5">
      <w:pPr>
        <w:pageBreakBefore w:val="0"/>
        <w:widowControl w:val="0"/>
        <w:kinsoku/>
        <w:wordWrap/>
        <w:overflowPunct/>
        <w:topLinePunct w:val="0"/>
        <w:bidi w:val="0"/>
        <w:spacing w:line="480" w:lineRule="exact"/>
        <w:textAlignment w:val="auto"/>
        <w:rPr>
          <w:rFonts w:hint="eastAsia" w:ascii="仿宋" w:hAnsi="仿宋" w:eastAsia="仿宋" w:cs="仿宋"/>
          <w:color w:val="auto"/>
          <w:highlight w:val="none"/>
        </w:rPr>
      </w:pPr>
      <w:r>
        <w:rPr>
          <w:rFonts w:hint="eastAsia" w:ascii="仿宋" w:hAnsi="仿宋" w:eastAsia="仿宋" w:cs="仿宋"/>
          <w:b/>
          <w:color w:val="auto"/>
          <w:sz w:val="32"/>
          <w:highlight w:val="none"/>
        </w:rPr>
        <w:br w:type="page"/>
      </w:r>
    </w:p>
    <w:p w14:paraId="0A923F83">
      <w:pPr>
        <w:pStyle w:val="4"/>
        <w:pageBreakBefore w:val="0"/>
        <w:widowControl w:val="0"/>
        <w:shd w:val="clear" w:color="auto" w:fill="FFFFFF"/>
        <w:kinsoku/>
        <w:wordWrap/>
        <w:overflowPunct/>
        <w:topLinePunct w:val="0"/>
        <w:bidi w:val="0"/>
        <w:spacing w:line="480" w:lineRule="exact"/>
        <w:ind w:left="0" w:firstLine="0"/>
        <w:textAlignment w:val="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示范格式二</w:t>
      </w:r>
    </w:p>
    <w:p w14:paraId="6CEB0090">
      <w:pPr>
        <w:pageBreakBefore w:val="0"/>
        <w:widowControl w:val="0"/>
        <w:kinsoku/>
        <w:wordWrap/>
        <w:overflowPunct/>
        <w:topLinePunct w:val="0"/>
        <w:bidi w:val="0"/>
        <w:spacing w:line="480" w:lineRule="exact"/>
        <w:ind w:firstLine="3534" w:firstLineChars="1100"/>
        <w:textAlignment w:val="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授权委托书</w:t>
      </w:r>
    </w:p>
    <w:p w14:paraId="070C2D86">
      <w:pPr>
        <w:pageBreakBefore w:val="0"/>
        <w:widowControl w:val="0"/>
        <w:kinsoku/>
        <w:wordWrap/>
        <w:overflowPunct/>
        <w:topLinePunct w:val="0"/>
        <w:bidi w:val="0"/>
        <w:spacing w:line="480" w:lineRule="exact"/>
        <w:ind w:firstLine="482" w:firstLineChars="200"/>
        <w:textAlignment w:val="auto"/>
        <w:rPr>
          <w:rFonts w:hint="eastAsia" w:ascii="仿宋" w:hAnsi="仿宋" w:eastAsia="仿宋" w:cs="仿宋"/>
          <w:b/>
          <w:bCs/>
          <w:color w:val="auto"/>
          <w:sz w:val="24"/>
          <w:highlight w:val="none"/>
        </w:rPr>
      </w:pPr>
    </w:p>
    <w:p w14:paraId="145B0F72">
      <w:pPr>
        <w:pageBreakBefore w:val="0"/>
        <w:widowControl w:val="0"/>
        <w:kinsoku/>
        <w:wordWrap/>
        <w:overflowPunct/>
        <w:topLinePunct w:val="0"/>
        <w:bidi w:val="0"/>
        <w:spacing w:line="480" w:lineRule="exac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致</w:t>
      </w:r>
      <w:r>
        <w:rPr>
          <w:rFonts w:hint="eastAsia" w:ascii="仿宋" w:hAnsi="仿宋" w:eastAsia="仿宋" w:cs="仿宋"/>
          <w:b/>
          <w:bCs/>
          <w:color w:val="auto"/>
          <w:sz w:val="24"/>
          <w:highlight w:val="none"/>
          <w:u w:val="single"/>
        </w:rPr>
        <w:t xml:space="preserve">        （采购单位）                    </w:t>
      </w:r>
      <w:r>
        <w:rPr>
          <w:rFonts w:hint="eastAsia" w:ascii="仿宋" w:hAnsi="仿宋" w:eastAsia="仿宋" w:cs="仿宋"/>
          <w:b/>
          <w:bCs/>
          <w:color w:val="auto"/>
          <w:sz w:val="24"/>
          <w:highlight w:val="none"/>
        </w:rPr>
        <w:t>：</w:t>
      </w:r>
    </w:p>
    <w:p w14:paraId="13626AFE">
      <w:pPr>
        <w:pageBreakBefore w:val="0"/>
        <w:widowControl w:val="0"/>
        <w:kinsoku/>
        <w:wordWrap/>
        <w:overflowPunct/>
        <w:topLinePunct w:val="0"/>
        <w:bidi w:val="0"/>
        <w:spacing w:line="480" w:lineRule="exact"/>
        <w:textAlignment w:val="auto"/>
        <w:rPr>
          <w:rFonts w:hint="eastAsia" w:ascii="仿宋" w:hAnsi="仿宋" w:eastAsia="仿宋"/>
          <w:color w:val="auto"/>
          <w:sz w:val="28"/>
          <w:szCs w:val="28"/>
          <w:highlight w:val="none"/>
        </w:rPr>
      </w:pPr>
      <w:r>
        <w:rPr>
          <w:rFonts w:hint="eastAsia" w:ascii="仿宋" w:hAnsi="仿宋" w:eastAsia="仿宋"/>
          <w:bCs/>
          <w:color w:val="auto"/>
          <w:sz w:val="30"/>
          <w:szCs w:val="28"/>
          <w:highlight w:val="none"/>
          <w:lang w:val="en-US" w:eastAsia="zh-CN"/>
        </w:rPr>
        <w:t xml:space="preserve"> </w:t>
      </w:r>
      <w:r>
        <w:rPr>
          <w:rFonts w:hint="eastAsia" w:ascii="仿宋" w:hAnsi="仿宋" w:eastAsia="仿宋"/>
          <w:color w:val="auto"/>
          <w:sz w:val="28"/>
          <w:szCs w:val="28"/>
          <w:highlight w:val="none"/>
        </w:rPr>
        <w:t>本授权书宣告</w:t>
      </w:r>
      <w:r>
        <w:rPr>
          <w:rFonts w:hint="eastAsia" w:ascii="仿宋" w:hAnsi="仿宋" w:eastAsia="仿宋"/>
          <w:color w:val="auto"/>
          <w:sz w:val="28"/>
          <w:szCs w:val="28"/>
          <w:highlight w:val="none"/>
          <w:lang w:eastAsia="zh-CN"/>
        </w:rPr>
        <w:t>：</w:t>
      </w:r>
    </w:p>
    <w:p w14:paraId="58BA55F2">
      <w:pPr>
        <w:pageBreakBefore w:val="0"/>
        <w:widowControl w:val="0"/>
        <w:kinsoku/>
        <w:wordWrap/>
        <w:overflowPunct/>
        <w:topLinePunct w:val="0"/>
        <w:bidi w:val="0"/>
        <w:snapToGrid w:val="0"/>
        <w:spacing w:line="480" w:lineRule="exact"/>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委托方</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地址</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u w:val="single"/>
        </w:rPr>
        <w:t xml:space="preserve">            </w:t>
      </w:r>
    </w:p>
    <w:p w14:paraId="400447F9">
      <w:pPr>
        <w:pageBreakBefore w:val="0"/>
        <w:widowControl w:val="0"/>
        <w:kinsoku/>
        <w:wordWrap/>
        <w:overflowPunct/>
        <w:topLinePunct w:val="0"/>
        <w:bidi w:val="0"/>
        <w:snapToGrid w:val="0"/>
        <w:spacing w:line="480" w:lineRule="exact"/>
        <w:textAlignment w:val="auto"/>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法定代表人</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u w:val="single"/>
        </w:rPr>
        <w:t xml:space="preserve">          </w:t>
      </w:r>
    </w:p>
    <w:p w14:paraId="2E821E44">
      <w:pPr>
        <w:pageBreakBefore w:val="0"/>
        <w:widowControl w:val="0"/>
        <w:kinsoku/>
        <w:wordWrap/>
        <w:overflowPunct/>
        <w:topLinePunct w:val="0"/>
        <w:bidi w:val="0"/>
        <w:snapToGrid w:val="0"/>
        <w:spacing w:line="480" w:lineRule="exact"/>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受托人</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日</w:t>
      </w:r>
    </w:p>
    <w:p w14:paraId="6A021E2F">
      <w:pPr>
        <w:pageBreakBefore w:val="0"/>
        <w:widowControl w:val="0"/>
        <w:kinsoku/>
        <w:wordWrap/>
        <w:overflowPunct/>
        <w:topLinePunct w:val="0"/>
        <w:bidi w:val="0"/>
        <w:snapToGrid w:val="0"/>
        <w:spacing w:line="480" w:lineRule="exact"/>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所在单位</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职务</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u w:val="single"/>
        </w:rPr>
        <w:t xml:space="preserve">           </w:t>
      </w:r>
    </w:p>
    <w:p w14:paraId="260C81A6">
      <w:pPr>
        <w:pageBreakBefore w:val="0"/>
        <w:widowControl w:val="0"/>
        <w:kinsoku/>
        <w:wordWrap/>
        <w:overflowPunct/>
        <w:topLinePunct w:val="0"/>
        <w:bidi w:val="0"/>
        <w:snapToGrid w:val="0"/>
        <w:spacing w:line="480" w:lineRule="exact"/>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证</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联系方式</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p>
    <w:p w14:paraId="1991074B">
      <w:pPr>
        <w:pageBreakBefore w:val="0"/>
        <w:widowControl w:val="0"/>
        <w:kinsoku/>
        <w:wordWrap/>
        <w:overflowPunct/>
        <w:topLinePunct w:val="0"/>
        <w:bidi w:val="0"/>
        <w:snapToGrid w:val="0"/>
        <w:spacing w:line="480" w:lineRule="exact"/>
        <w:ind w:firstLine="560" w:firstLineChars="20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代表我公司参加</w:t>
      </w:r>
      <w:r>
        <w:rPr>
          <w:rFonts w:hint="eastAsia" w:ascii="仿宋" w:hAnsi="仿宋" w:eastAsia="仿宋" w:cs="仿宋"/>
          <w:b/>
          <w:bCs/>
          <w:color w:val="auto"/>
          <w:sz w:val="24"/>
          <w:highlight w:val="none"/>
          <w:u w:val="single"/>
        </w:rPr>
        <w:t>（采购单位）</w:t>
      </w:r>
      <w:r>
        <w:rPr>
          <w:rFonts w:hint="eastAsia" w:ascii="仿宋" w:hAnsi="仿宋" w:eastAsia="仿宋"/>
          <w:color w:val="auto"/>
          <w:sz w:val="28"/>
          <w:szCs w:val="28"/>
          <w:highlight w:val="none"/>
        </w:rPr>
        <w:t>组织的（项目编号</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u w:val="single"/>
        </w:rPr>
        <w:t xml:space="preserve">           ）</w:t>
      </w:r>
      <w:r>
        <w:rPr>
          <w:rFonts w:hint="eastAsia" w:ascii="仿宋" w:hAnsi="仿宋" w:eastAsia="仿宋"/>
          <w:bCs/>
          <w:color w:val="auto"/>
          <w:sz w:val="28"/>
          <w:highlight w:val="none"/>
          <w:u w:val="single"/>
        </w:rPr>
        <w:t xml:space="preserve">    </w:t>
      </w:r>
      <w:r>
        <w:rPr>
          <w:rFonts w:hint="eastAsia" w:ascii="仿宋" w:hAnsi="仿宋" w:eastAsia="仿宋"/>
          <w:bCs/>
          <w:color w:val="auto"/>
          <w:sz w:val="28"/>
          <w:highlight w:val="none"/>
          <w:u w:val="single"/>
          <w:lang w:val="en-US" w:eastAsia="zh-CN"/>
        </w:rPr>
        <w:t xml:space="preserve">     </w:t>
      </w:r>
      <w:r>
        <w:rPr>
          <w:rFonts w:hint="eastAsia" w:ascii="仿宋" w:hAnsi="仿宋" w:eastAsia="仿宋"/>
          <w:color w:val="auto"/>
          <w:sz w:val="28"/>
          <w:szCs w:val="28"/>
          <w:highlight w:val="none"/>
        </w:rPr>
        <w:t>采购项目的政府采购活动，受托人有权在该招标活动中，以我单位的名义签署投标函和投标文件，与采购中心协商、澄清、解释，签订合同书并执行一切与此有关的事项。</w:t>
      </w:r>
    </w:p>
    <w:p w14:paraId="3517E2A5">
      <w:pPr>
        <w:pageBreakBefore w:val="0"/>
        <w:widowControl w:val="0"/>
        <w:kinsoku/>
        <w:wordWrap/>
        <w:overflowPunct/>
        <w:topLinePunct w:val="0"/>
        <w:bidi w:val="0"/>
        <w:snapToGrid w:val="0"/>
        <w:spacing w:line="480" w:lineRule="exact"/>
        <w:textAlignment w:val="auto"/>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p>
    <w:p w14:paraId="49AFDE48">
      <w:pPr>
        <w:pageBreakBefore w:val="0"/>
        <w:widowControl w:val="0"/>
        <w:kinsoku/>
        <w:wordWrap/>
        <w:overflowPunct/>
        <w:topLinePunct w:val="0"/>
        <w:bidi w:val="0"/>
        <w:snapToGrid w:val="0"/>
        <w:spacing w:line="480" w:lineRule="exact"/>
        <w:ind w:firstLine="560" w:firstLineChars="20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委托期限</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至上述事宜处理完毕止。</w:t>
      </w:r>
    </w:p>
    <w:p w14:paraId="1107FCF3">
      <w:pPr>
        <w:pageBreakBefore w:val="0"/>
        <w:widowControl w:val="0"/>
        <w:kinsoku/>
        <w:wordWrap/>
        <w:overflowPunct/>
        <w:topLinePunct w:val="0"/>
        <w:bidi w:val="0"/>
        <w:snapToGrid w:val="0"/>
        <w:spacing w:line="480" w:lineRule="exact"/>
        <w:ind w:firstLine="600"/>
        <w:textAlignment w:val="auto"/>
        <w:rPr>
          <w:rFonts w:hint="eastAsia" w:ascii="仿宋" w:hAnsi="仿宋" w:eastAsia="仿宋"/>
          <w:b/>
          <w:color w:val="auto"/>
          <w:sz w:val="28"/>
          <w:szCs w:val="28"/>
          <w:highlight w:val="none"/>
        </w:rPr>
      </w:pPr>
    </w:p>
    <w:p w14:paraId="136CD8AF">
      <w:pPr>
        <w:pageBreakBefore w:val="0"/>
        <w:widowControl w:val="0"/>
        <w:kinsoku/>
        <w:wordWrap/>
        <w:overflowPunct/>
        <w:topLinePunct w:val="0"/>
        <w:autoSpaceDE w:val="0"/>
        <w:autoSpaceDN w:val="0"/>
        <w:bidi w:val="0"/>
        <w:adjustRightInd w:val="0"/>
        <w:spacing w:line="480" w:lineRule="exact"/>
        <w:jc w:val="center"/>
        <w:textAlignment w:val="auto"/>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p>
    <w:p w14:paraId="08775916">
      <w:pPr>
        <w:pageBreakBefore w:val="0"/>
        <w:widowControl w:val="0"/>
        <w:kinsoku/>
        <w:wordWrap/>
        <w:overflowPunct/>
        <w:topLinePunct w:val="0"/>
        <w:bidi w:val="0"/>
        <w:snapToGrid w:val="0"/>
        <w:spacing w:line="480" w:lineRule="exact"/>
        <w:ind w:firstLine="560" w:firstLineChars="200"/>
        <w:textAlignment w:val="auto"/>
        <w:rPr>
          <w:rFonts w:hint="eastAsia" w:ascii="仿宋" w:hAnsi="仿宋" w:eastAsia="仿宋" w:cs="仿宋"/>
          <w:color w:val="auto"/>
          <w:sz w:val="24"/>
          <w:highlight w:val="none"/>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4CA8A298">
      <w:pPr>
        <w:pageBreakBefore w:val="0"/>
        <w:kinsoku/>
        <w:overflowPunct/>
        <w:topLinePunct w:val="0"/>
        <w:bidi w:val="0"/>
        <w:snapToGrid w:val="0"/>
        <w:spacing w:line="38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rPr>
        <w:t>投标人委托受托人参加投标的，必须附受托人身份证扫描件加盖投标人电子签章。法定代表人直接参加投标的，仅需填写“法定代表人资格证明”。</w:t>
      </w:r>
    </w:p>
    <w:p w14:paraId="41B1956C">
      <w:pPr>
        <w:pageBreakBefore w:val="0"/>
        <w:kinsoku/>
        <w:overflowPunct/>
        <w:topLinePunct w:val="0"/>
        <w:bidi w:val="0"/>
        <w:snapToGrid w:val="0"/>
        <w:spacing w:line="380" w:lineRule="exact"/>
        <w:ind w:firstLine="482" w:firstLineChars="200"/>
        <w:rPr>
          <w:rFonts w:hint="eastAsia" w:ascii="仿宋" w:hAnsi="仿宋" w:eastAsia="仿宋" w:cs="仿宋"/>
          <w:b/>
          <w:bCs/>
          <w:color w:val="auto"/>
          <w:sz w:val="24"/>
          <w:highlight w:val="none"/>
        </w:rPr>
      </w:pPr>
    </w:p>
    <w:p w14:paraId="6338D41B">
      <w:pPr>
        <w:pageBreakBefore w:val="0"/>
        <w:kinsoku/>
        <w:overflowPunct/>
        <w:topLinePunct w:val="0"/>
        <w:bidi w:val="0"/>
        <w:spacing w:line="380" w:lineRule="exact"/>
        <w:ind w:firstLine="562" w:firstLineChars="200"/>
        <w:rPr>
          <w:rFonts w:hint="eastAsia" w:ascii="仿宋" w:hAnsi="仿宋" w:eastAsia="仿宋" w:cs="仿宋"/>
          <w:b/>
          <w:bCs/>
          <w:color w:val="auto"/>
          <w:sz w:val="28"/>
          <w:highlight w:val="none"/>
        </w:rPr>
      </w:pPr>
    </w:p>
    <w:p w14:paraId="0F208AE4">
      <w:pPr>
        <w:pStyle w:val="9"/>
        <w:pageBreakBefore w:val="0"/>
        <w:kinsoku/>
        <w:overflowPunct/>
        <w:topLinePunct w:val="0"/>
        <w:bidi w:val="0"/>
        <w:spacing w:line="380" w:lineRule="exact"/>
        <w:rPr>
          <w:rFonts w:hint="eastAsia" w:ascii="仿宋" w:hAnsi="仿宋" w:eastAsia="仿宋" w:cs="仿宋"/>
          <w:b/>
          <w:color w:val="auto"/>
          <w:sz w:val="32"/>
          <w:szCs w:val="24"/>
          <w:highlight w:val="none"/>
        </w:rPr>
      </w:pPr>
    </w:p>
    <w:p w14:paraId="0C7D23DD">
      <w:pPr>
        <w:pStyle w:val="9"/>
        <w:pageBreakBefore w:val="0"/>
        <w:kinsoku/>
        <w:overflowPunct/>
        <w:topLinePunct w:val="0"/>
        <w:bidi w:val="0"/>
        <w:spacing w:line="380" w:lineRule="exact"/>
        <w:rPr>
          <w:rFonts w:hint="eastAsia" w:ascii="仿宋" w:hAnsi="仿宋" w:eastAsia="仿宋" w:cs="仿宋"/>
          <w:b/>
          <w:color w:val="auto"/>
          <w:sz w:val="32"/>
          <w:szCs w:val="24"/>
          <w:highlight w:val="none"/>
        </w:rPr>
      </w:pPr>
    </w:p>
    <w:p w14:paraId="5B2624E8">
      <w:pPr>
        <w:pStyle w:val="9"/>
        <w:pageBreakBefore w:val="0"/>
        <w:kinsoku/>
        <w:overflowPunct/>
        <w:topLinePunct w:val="0"/>
        <w:bidi w:val="0"/>
        <w:spacing w:line="380" w:lineRule="exact"/>
        <w:rPr>
          <w:rFonts w:hint="eastAsia" w:ascii="仿宋" w:hAnsi="仿宋" w:eastAsia="仿宋" w:cs="仿宋"/>
          <w:b/>
          <w:color w:val="auto"/>
          <w:sz w:val="32"/>
          <w:szCs w:val="24"/>
          <w:highlight w:val="none"/>
        </w:rPr>
      </w:pPr>
    </w:p>
    <w:p w14:paraId="4E6DDDDB">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r>
    </w:p>
    <w:p w14:paraId="5D139912">
      <w:pPr>
        <w:pStyle w:val="4"/>
        <w:pageBreakBefore w:val="0"/>
        <w:shd w:val="clear" w:color="auto" w:fill="FFFFFF"/>
        <w:kinsoku/>
        <w:overflowPunct/>
        <w:topLinePunct w:val="0"/>
        <w:bidi w:val="0"/>
        <w:spacing w:line="380" w:lineRule="exact"/>
        <w:ind w:left="0" w:firstLine="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示范格式三</w:t>
      </w:r>
    </w:p>
    <w:p w14:paraId="262D3B87">
      <w:pPr>
        <w:pageBreakBefore w:val="0"/>
        <w:kinsoku/>
        <w:overflowPunct/>
        <w:topLinePunct w:val="0"/>
        <w:bidi w:val="0"/>
        <w:spacing w:line="380" w:lineRule="exact"/>
        <w:jc w:val="center"/>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承 诺 书</w:t>
      </w:r>
    </w:p>
    <w:p w14:paraId="03BECC51">
      <w:pPr>
        <w:pageBreakBefore w:val="0"/>
        <w:kinsoku/>
        <w:overflowPunct/>
        <w:topLinePunct w:val="0"/>
        <w:bidi w:val="0"/>
        <w:spacing w:line="380" w:lineRule="exact"/>
        <w:ind w:firstLine="643"/>
        <w:jc w:val="center"/>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rPr>
        <w:t>符合《</w:t>
      </w:r>
      <w:r>
        <w:rPr>
          <w:rFonts w:hint="eastAsia" w:ascii="仿宋" w:hAnsi="仿宋" w:eastAsia="仿宋" w:cs="仿宋"/>
          <w:b/>
          <w:bCs/>
          <w:color w:val="auto"/>
          <w:sz w:val="32"/>
          <w:highlight w:val="none"/>
          <w:lang w:eastAsia="zh-CN"/>
        </w:rPr>
        <w:t>中华人民共和国政府采购法</w:t>
      </w:r>
      <w:r>
        <w:rPr>
          <w:rFonts w:hint="eastAsia" w:ascii="仿宋" w:hAnsi="仿宋" w:eastAsia="仿宋" w:cs="仿宋"/>
          <w:b/>
          <w:bCs/>
          <w:color w:val="auto"/>
          <w:sz w:val="32"/>
          <w:highlight w:val="none"/>
        </w:rPr>
        <w:t>》第二十二条规定</w:t>
      </w:r>
      <w:r>
        <w:rPr>
          <w:rFonts w:hint="eastAsia" w:ascii="仿宋" w:hAnsi="仿宋" w:eastAsia="仿宋" w:cs="仿宋"/>
          <w:b/>
          <w:bCs/>
          <w:color w:val="auto"/>
          <w:sz w:val="32"/>
          <w:highlight w:val="none"/>
          <w:lang w:val="en-US" w:eastAsia="zh-CN"/>
        </w:rPr>
        <w:t xml:space="preserve"> </w:t>
      </w:r>
    </w:p>
    <w:p w14:paraId="13BBEA48">
      <w:pPr>
        <w:pStyle w:val="22"/>
        <w:pageBreakBefore w:val="0"/>
        <w:kinsoku/>
        <w:overflowPunct/>
        <w:topLinePunct w:val="0"/>
        <w:bidi w:val="0"/>
        <w:spacing w:line="380" w:lineRule="exact"/>
        <w:rPr>
          <w:rFonts w:hint="eastAsia" w:ascii="仿宋" w:hAnsi="仿宋" w:eastAsia="仿宋" w:cs="仿宋"/>
          <w:color w:val="auto"/>
          <w:highlight w:val="none"/>
          <w:lang w:val="zh-CN"/>
        </w:rPr>
      </w:pPr>
    </w:p>
    <w:p w14:paraId="03BFDAA5">
      <w:pPr>
        <w:keepNext w:val="0"/>
        <w:keepLines w:val="0"/>
        <w:pageBreakBefore w:val="0"/>
        <w:kinsoku/>
        <w:wordWrap/>
        <w:overflowPunct/>
        <w:topLinePunct w:val="0"/>
        <w:autoSpaceDE/>
        <w:autoSpaceDN/>
        <w:bidi w:val="0"/>
        <w:adjustRightInd/>
        <w:snapToGrid/>
        <w:spacing w:line="480" w:lineRule="exact"/>
        <w:ind w:firstLine="120" w:firstLineChars="50"/>
        <w:jc w:val="left"/>
        <w:textAlignment w:val="auto"/>
        <w:rPr>
          <w:rFonts w:hint="eastAsia" w:ascii="仿宋" w:hAnsi="仿宋" w:eastAsia="仿宋" w:cs="仿宋"/>
          <w:color w:val="auto"/>
          <w:kern w:val="0"/>
          <w:sz w:val="24"/>
          <w:highlight w:val="none"/>
        </w:rPr>
      </w:pPr>
      <w:r>
        <w:rPr>
          <w:rFonts w:hint="eastAsia" w:ascii="仿宋" w:hAnsi="仿宋" w:eastAsia="仿宋" w:cs="仿宋"/>
          <w:b/>
          <w:bCs/>
          <w:color w:val="auto"/>
          <w:sz w:val="24"/>
          <w:highlight w:val="none"/>
        </w:rPr>
        <w:t>致</w:t>
      </w:r>
      <w:r>
        <w:rPr>
          <w:rFonts w:hint="eastAsia" w:ascii="仿宋" w:hAnsi="仿宋" w:eastAsia="仿宋" w:cs="仿宋"/>
          <w:color w:val="auto"/>
          <w:kern w:val="0"/>
          <w:sz w:val="24"/>
          <w:highlight w:val="none"/>
          <w:u w:val="single"/>
        </w:rPr>
        <w:t xml:space="preserve">  （采购单位）          </w:t>
      </w:r>
      <w:r>
        <w:rPr>
          <w:rFonts w:hint="eastAsia" w:ascii="仿宋" w:hAnsi="仿宋" w:eastAsia="仿宋" w:cs="仿宋"/>
          <w:color w:val="auto"/>
          <w:kern w:val="0"/>
          <w:sz w:val="24"/>
          <w:highlight w:val="none"/>
        </w:rPr>
        <w:t>：</w:t>
      </w:r>
    </w:p>
    <w:p w14:paraId="797E34C7">
      <w:pPr>
        <w:keepNext w:val="0"/>
        <w:keepLines w:val="0"/>
        <w:pageBreakBefore w:val="0"/>
        <w:kinsoku/>
        <w:wordWrap/>
        <w:overflowPunct/>
        <w:topLinePunct w:val="0"/>
        <w:autoSpaceDE/>
        <w:autoSpaceDN/>
        <w:bidi w:val="0"/>
        <w:adjustRightInd/>
        <w:snapToGrid/>
        <w:spacing w:line="480" w:lineRule="exact"/>
        <w:ind w:firstLine="560"/>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我公司参加贵中心组织实施的（项目编号</w:t>
      </w: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u w:val="single"/>
          <w:lang w:val="en-US" w:eastAsia="zh-CN"/>
        </w:rPr>
        <w:t xml:space="preserve">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采购项目的政府采购活动。针对《中华人民共和国政府采购法》第二十二条规定做出如下声明：</w:t>
      </w:r>
    </w:p>
    <w:p w14:paraId="2C8AC09A">
      <w:pPr>
        <w:keepNext w:val="0"/>
        <w:keepLines w:val="0"/>
        <w:pageBreakBefore w:val="0"/>
        <w:kinsoku/>
        <w:wordWrap/>
        <w:overflowPunct/>
        <w:topLinePunct w:val="0"/>
        <w:autoSpaceDE/>
        <w:autoSpaceDN/>
        <w:bidi w:val="0"/>
        <w:adjustRightInd/>
        <w:snapToGrid/>
        <w:spacing w:line="480" w:lineRule="exact"/>
        <w:ind w:firstLine="560"/>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eastAsia="zh-CN"/>
        </w:rPr>
        <w:t>1.</w:t>
      </w:r>
      <w:r>
        <w:rPr>
          <w:rFonts w:hint="eastAsia" w:ascii="仿宋" w:hAnsi="仿宋" w:eastAsia="仿宋" w:cs="仿宋"/>
          <w:color w:val="auto"/>
          <w:kern w:val="0"/>
          <w:sz w:val="24"/>
          <w:highlight w:val="none"/>
        </w:rPr>
        <w:t>我单位具有独立承担民事责任的能力；</w:t>
      </w:r>
    </w:p>
    <w:p w14:paraId="749973DA">
      <w:pPr>
        <w:keepNext w:val="0"/>
        <w:keepLines w:val="0"/>
        <w:pageBreakBefore w:val="0"/>
        <w:kinsoku/>
        <w:wordWrap/>
        <w:overflowPunct/>
        <w:topLinePunct w:val="0"/>
        <w:autoSpaceDE/>
        <w:autoSpaceDN/>
        <w:bidi w:val="0"/>
        <w:adjustRightInd/>
        <w:snapToGrid/>
        <w:spacing w:line="480" w:lineRule="exact"/>
        <w:ind w:firstLine="560"/>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eastAsia="zh-CN"/>
        </w:rPr>
        <w:t>2.</w:t>
      </w:r>
      <w:r>
        <w:rPr>
          <w:rFonts w:hint="eastAsia" w:ascii="仿宋" w:hAnsi="仿宋" w:eastAsia="仿宋" w:cs="仿宋"/>
          <w:color w:val="auto"/>
          <w:kern w:val="0"/>
          <w:sz w:val="24"/>
          <w:highlight w:val="none"/>
        </w:rPr>
        <w:t>我单位具有良好的商业信誉和健全的财务会计制度；</w:t>
      </w:r>
    </w:p>
    <w:p w14:paraId="620535EC">
      <w:pPr>
        <w:keepNext w:val="0"/>
        <w:keepLines w:val="0"/>
        <w:pageBreakBefore w:val="0"/>
        <w:kinsoku/>
        <w:wordWrap/>
        <w:overflowPunct/>
        <w:topLinePunct w:val="0"/>
        <w:autoSpaceDE/>
        <w:autoSpaceDN/>
        <w:bidi w:val="0"/>
        <w:adjustRightInd/>
        <w:snapToGrid/>
        <w:spacing w:line="480" w:lineRule="exact"/>
        <w:ind w:firstLine="560"/>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eastAsia="zh-CN"/>
        </w:rPr>
        <w:t>3.</w:t>
      </w:r>
      <w:r>
        <w:rPr>
          <w:rFonts w:hint="eastAsia" w:ascii="仿宋" w:hAnsi="仿宋" w:eastAsia="仿宋" w:cs="仿宋"/>
          <w:color w:val="auto"/>
          <w:kern w:val="0"/>
          <w:sz w:val="24"/>
          <w:highlight w:val="none"/>
        </w:rPr>
        <w:t>我单位具有履行合同所必需的设备和专业技术能力；</w:t>
      </w:r>
    </w:p>
    <w:p w14:paraId="6F45579A">
      <w:pPr>
        <w:keepNext w:val="0"/>
        <w:keepLines w:val="0"/>
        <w:pageBreakBefore w:val="0"/>
        <w:kinsoku/>
        <w:wordWrap/>
        <w:overflowPunct/>
        <w:topLinePunct w:val="0"/>
        <w:autoSpaceDE/>
        <w:autoSpaceDN/>
        <w:bidi w:val="0"/>
        <w:adjustRightInd/>
        <w:snapToGrid/>
        <w:spacing w:line="480" w:lineRule="exact"/>
        <w:ind w:firstLine="560"/>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eastAsia="zh-CN"/>
        </w:rPr>
        <w:t>4.</w:t>
      </w:r>
      <w:r>
        <w:rPr>
          <w:rFonts w:hint="eastAsia" w:ascii="仿宋" w:hAnsi="仿宋" w:eastAsia="仿宋" w:cs="仿宋"/>
          <w:color w:val="auto"/>
          <w:kern w:val="0"/>
          <w:sz w:val="24"/>
          <w:highlight w:val="none"/>
        </w:rPr>
        <w:t>我单位有依法缴纳税收和社会保障资金的良好记录；</w:t>
      </w:r>
    </w:p>
    <w:p w14:paraId="6A36A505">
      <w:pPr>
        <w:keepNext w:val="0"/>
        <w:keepLines w:val="0"/>
        <w:pageBreakBefore w:val="0"/>
        <w:kinsoku/>
        <w:wordWrap/>
        <w:overflowPunct/>
        <w:topLinePunct w:val="0"/>
        <w:autoSpaceDE/>
        <w:autoSpaceDN/>
        <w:bidi w:val="0"/>
        <w:adjustRightInd/>
        <w:snapToGrid/>
        <w:spacing w:line="480" w:lineRule="exact"/>
        <w:ind w:firstLine="560"/>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eastAsia="zh-CN"/>
        </w:rPr>
        <w:t>5.</w:t>
      </w:r>
      <w:r>
        <w:rPr>
          <w:rFonts w:hint="eastAsia" w:ascii="仿宋" w:hAnsi="仿宋" w:eastAsia="仿宋" w:cs="仿宋"/>
          <w:color w:val="auto"/>
          <w:kern w:val="0"/>
          <w:sz w:val="24"/>
          <w:highlight w:val="none"/>
        </w:rPr>
        <w:t>参加本次政府采购活动前三年内，我公司在经营活动中没有因违法经营受到刑事处罚或者责令停产停业、吊销许可证或者执照等行政处罚。</w:t>
      </w:r>
    </w:p>
    <w:p w14:paraId="59444100">
      <w:pPr>
        <w:keepNext w:val="0"/>
        <w:keepLines w:val="0"/>
        <w:pageBreakBefore w:val="0"/>
        <w:kinsoku/>
        <w:wordWrap/>
        <w:overflowPunct/>
        <w:topLinePunct w:val="0"/>
        <w:autoSpaceDE/>
        <w:autoSpaceDN/>
        <w:bidi w:val="0"/>
        <w:adjustRightInd/>
        <w:snapToGrid/>
        <w:spacing w:line="480" w:lineRule="exact"/>
        <w:ind w:firstLine="560"/>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6.</w:t>
      </w:r>
      <w:r>
        <w:rPr>
          <w:rFonts w:hint="eastAsia" w:ascii="仿宋" w:hAnsi="仿宋" w:eastAsia="仿宋" w:cs="仿宋"/>
          <w:color w:val="auto"/>
          <w:kern w:val="0"/>
          <w:sz w:val="24"/>
          <w:highlight w:val="none"/>
        </w:rPr>
        <w:t>我方与参加本次采购活动的其他单位不存在单位负责人为同一人的情况，也不存在控股、管理关系的情况；</w:t>
      </w:r>
    </w:p>
    <w:p w14:paraId="5D7E163A">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7.</w:t>
      </w:r>
      <w:r>
        <w:rPr>
          <w:rFonts w:hint="eastAsia" w:ascii="仿宋" w:hAnsi="仿宋" w:eastAsia="仿宋" w:cs="仿宋"/>
          <w:color w:val="auto"/>
          <w:kern w:val="0"/>
          <w:sz w:val="24"/>
          <w:highlight w:val="none"/>
        </w:rPr>
        <w:t>我方没有为本采购项目提供整体设计、规范编制或者项目管理、监理、检测等服务；</w:t>
      </w:r>
    </w:p>
    <w:p w14:paraId="783CE58B">
      <w:pPr>
        <w:keepNext w:val="0"/>
        <w:keepLines w:val="0"/>
        <w:pageBreakBefore w:val="0"/>
        <w:widowControl w:val="0"/>
        <w:kinsoku/>
        <w:wordWrap/>
        <w:overflowPunct/>
        <w:topLinePunct w:val="0"/>
        <w:autoSpaceDE/>
        <w:autoSpaceDN/>
        <w:bidi w:val="0"/>
        <w:adjustRightInd/>
        <w:snapToGrid/>
        <w:spacing w:line="380" w:lineRule="exact"/>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.供应商</w:t>
      </w:r>
      <w:r>
        <w:rPr>
          <w:rFonts w:hint="eastAsia" w:ascii="仿宋" w:hAnsi="仿宋" w:eastAsia="仿宋" w:cs="仿宋"/>
          <w:color w:val="auto"/>
          <w:sz w:val="24"/>
          <w:szCs w:val="24"/>
          <w:highlight w:val="none"/>
          <w:lang w:val="en-US" w:eastAsia="zh-CN"/>
        </w:rPr>
        <w:t>未</w:t>
      </w:r>
      <w:r>
        <w:rPr>
          <w:rFonts w:hint="eastAsia" w:ascii="仿宋" w:hAnsi="仿宋" w:eastAsia="仿宋" w:cs="仿宋"/>
          <w:color w:val="auto"/>
          <w:sz w:val="24"/>
          <w:szCs w:val="24"/>
          <w:highlight w:val="none"/>
        </w:rPr>
        <w:t>被“信用中国”网站、“中国政府采购网”列入失信被执行人、重大税收违法案件当事人名单、政府采购严重违法失信行为记录名单。</w:t>
      </w:r>
    </w:p>
    <w:p w14:paraId="4A1D0890">
      <w:pPr>
        <w:keepNext w:val="0"/>
        <w:keepLines w:val="0"/>
        <w:pageBreakBefore w:val="0"/>
        <w:kinsoku/>
        <w:wordWrap/>
        <w:overflowPunct/>
        <w:topLinePunct w:val="0"/>
        <w:autoSpaceDE/>
        <w:autoSpaceDN/>
        <w:bidi w:val="0"/>
        <w:adjustRightInd/>
        <w:snapToGrid/>
        <w:spacing w:line="480" w:lineRule="exact"/>
        <w:ind w:firstLine="560"/>
        <w:textAlignment w:val="auto"/>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9.</w:t>
      </w:r>
      <w:r>
        <w:rPr>
          <w:rFonts w:hint="eastAsia" w:ascii="仿宋" w:hAnsi="仿宋" w:eastAsia="仿宋" w:cs="仿宋"/>
          <w:color w:val="auto"/>
          <w:kern w:val="0"/>
          <w:sz w:val="24"/>
          <w:highlight w:val="none"/>
        </w:rPr>
        <w:t>我单位满足法律、行政法规规定的其他条件。</w:t>
      </w:r>
    </w:p>
    <w:p w14:paraId="23E8B1F0">
      <w:pPr>
        <w:keepNext w:val="0"/>
        <w:keepLines w:val="0"/>
        <w:pageBreakBefore w:val="0"/>
        <w:kinsoku/>
        <w:wordWrap/>
        <w:overflowPunct/>
        <w:topLinePunct w:val="0"/>
        <w:autoSpaceDE/>
        <w:autoSpaceDN/>
        <w:bidi w:val="0"/>
        <w:adjustRightInd/>
        <w:snapToGrid/>
        <w:spacing w:line="480" w:lineRule="exact"/>
        <w:ind w:firstLine="560"/>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10.</w:t>
      </w:r>
      <w:r>
        <w:rPr>
          <w:rFonts w:hint="eastAsia" w:ascii="仿宋" w:hAnsi="仿宋" w:eastAsia="仿宋" w:cs="仿宋"/>
          <w:color w:val="auto"/>
          <w:kern w:val="0"/>
          <w:sz w:val="24"/>
          <w:highlight w:val="none"/>
        </w:rPr>
        <w:t>我方保证上述信息的真实和准确，并愿意承担因我方就此弄虚作假所引起的一切法律后果，并自愿接受相关监管部门作出的任何处罚。</w:t>
      </w:r>
    </w:p>
    <w:p w14:paraId="5691DAC3">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kern w:val="0"/>
          <w:sz w:val="24"/>
          <w:highlight w:val="none"/>
        </w:rPr>
      </w:pPr>
    </w:p>
    <w:p w14:paraId="02838EA1">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特此承诺！</w:t>
      </w:r>
    </w:p>
    <w:p w14:paraId="6DA4F485">
      <w:pPr>
        <w:keepNext w:val="0"/>
        <w:keepLines w:val="0"/>
        <w:pageBreakBefore w:val="0"/>
        <w:kinsoku/>
        <w:wordWrap/>
        <w:overflowPunct/>
        <w:topLinePunct w:val="0"/>
        <w:autoSpaceDE/>
        <w:autoSpaceDN/>
        <w:bidi w:val="0"/>
        <w:adjustRightInd/>
        <w:snapToGrid/>
        <w:spacing w:line="480" w:lineRule="exact"/>
        <w:ind w:right="420"/>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w:t>
      </w:r>
    </w:p>
    <w:p w14:paraId="417CD548">
      <w:pPr>
        <w:keepNext w:val="0"/>
        <w:keepLines w:val="0"/>
        <w:pageBreakBefore w:val="0"/>
        <w:kinsoku/>
        <w:wordWrap/>
        <w:overflowPunct/>
        <w:topLinePunct w:val="0"/>
        <w:autoSpaceDE/>
        <w:autoSpaceDN/>
        <w:bidi w:val="0"/>
        <w:adjustRightInd/>
        <w:snapToGrid/>
        <w:spacing w:line="480" w:lineRule="exact"/>
        <w:ind w:right="420"/>
        <w:jc w:val="center"/>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 xml:space="preserve">               </w:t>
      </w:r>
      <w:r>
        <w:rPr>
          <w:rFonts w:hint="eastAsia" w:ascii="仿宋" w:hAnsi="仿宋" w:eastAsia="仿宋" w:cs="仿宋"/>
          <w:color w:val="auto"/>
          <w:kern w:val="0"/>
          <w:sz w:val="24"/>
          <w:highlight w:val="none"/>
        </w:rPr>
        <w:t xml:space="preserve"> 供应商：</w:t>
      </w:r>
      <w:r>
        <w:rPr>
          <w:rFonts w:hint="eastAsia" w:ascii="仿宋" w:hAnsi="仿宋" w:eastAsia="仿宋" w:cs="仿宋"/>
          <w:color w:val="auto"/>
          <w:kern w:val="0"/>
          <w:sz w:val="24"/>
          <w:highlight w:val="none"/>
          <w:lang w:val="zh-CN"/>
        </w:rPr>
        <w:t>（电子签章</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rPr>
        <w:t xml:space="preserve"> </w:t>
      </w:r>
    </w:p>
    <w:p w14:paraId="7C153103">
      <w:pPr>
        <w:keepNext w:val="0"/>
        <w:keepLines w:val="0"/>
        <w:pageBreakBefore w:val="0"/>
        <w:kinsoku/>
        <w:wordWrap/>
        <w:overflowPunct/>
        <w:topLinePunct w:val="0"/>
        <w:autoSpaceDE/>
        <w:autoSpaceDN/>
        <w:bidi w:val="0"/>
        <w:adjustRightInd/>
        <w:snapToGrid/>
        <w:spacing w:line="480" w:lineRule="exact"/>
        <w:ind w:right="420"/>
        <w:jc w:val="center"/>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en-US" w:eastAsia="zh-CN"/>
        </w:rPr>
        <w:t xml:space="preserve">                           </w:t>
      </w:r>
      <w:r>
        <w:rPr>
          <w:rFonts w:hint="eastAsia" w:ascii="仿宋" w:hAnsi="仿宋" w:eastAsia="仿宋" w:cs="仿宋"/>
          <w:color w:val="auto"/>
          <w:kern w:val="0"/>
          <w:sz w:val="24"/>
          <w:highlight w:val="none"/>
        </w:rPr>
        <w:t>法定代表人或委托代理人（签字</w:t>
      </w:r>
      <w:r>
        <w:rPr>
          <w:rFonts w:hint="eastAsia" w:ascii="仿宋" w:hAnsi="仿宋" w:eastAsia="仿宋" w:cs="仿宋"/>
          <w:color w:val="auto"/>
          <w:kern w:val="0"/>
          <w:sz w:val="24"/>
          <w:highlight w:val="none"/>
          <w:lang w:val="en-US" w:eastAsia="zh-CN"/>
        </w:rPr>
        <w:t>或签章</w:t>
      </w:r>
      <w:r>
        <w:rPr>
          <w:rFonts w:hint="eastAsia" w:ascii="仿宋" w:hAnsi="仿宋" w:eastAsia="仿宋" w:cs="仿宋"/>
          <w:color w:val="auto"/>
          <w:kern w:val="0"/>
          <w:sz w:val="24"/>
          <w:highlight w:val="none"/>
        </w:rPr>
        <w:t xml:space="preserve">）        </w:t>
      </w:r>
    </w:p>
    <w:p w14:paraId="36CCECAB">
      <w:pPr>
        <w:pStyle w:val="9"/>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4"/>
          <w:szCs w:val="24"/>
          <w:highlight w:val="none"/>
        </w:rPr>
        <w:t xml:space="preserve">                                       日期</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 xml:space="preserve">      年   月</w:t>
      </w: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kern w:val="0"/>
          <w:sz w:val="24"/>
          <w:szCs w:val="24"/>
          <w:highlight w:val="none"/>
          <w:lang w:val="en-US" w:eastAsia="zh-CN"/>
        </w:rPr>
        <w:t>日</w:t>
      </w:r>
    </w:p>
    <w:p w14:paraId="0B56D8C5">
      <w:pPr>
        <w:pStyle w:val="31"/>
        <w:keepNext w:val="0"/>
        <w:keepLines w:val="0"/>
        <w:pageBreakBefore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0"/>
          <w:szCs w:val="20"/>
          <w:highlight w:val="none"/>
          <w:lang w:val="en-US"/>
        </w:rPr>
        <w:sectPr>
          <w:pgSz w:w="11906" w:h="16838"/>
          <w:pgMar w:top="1440" w:right="1474" w:bottom="1440" w:left="1474" w:header="851" w:footer="992" w:gutter="0"/>
          <w:pgBorders>
            <w:top w:val="none" w:sz="0" w:space="0"/>
            <w:left w:val="none" w:sz="0" w:space="0"/>
            <w:bottom w:val="none" w:sz="0" w:space="0"/>
            <w:right w:val="none" w:sz="0" w:space="0"/>
          </w:pgBorders>
          <w:cols w:space="720" w:num="1"/>
          <w:docGrid w:type="lines" w:linePitch="312" w:charSpace="0"/>
        </w:sectPr>
      </w:pPr>
    </w:p>
    <w:p w14:paraId="4A77BF86">
      <w:pPr>
        <w:pStyle w:val="4"/>
        <w:pageBreakBefore w:val="0"/>
        <w:shd w:val="clear" w:color="auto" w:fill="FFFFFF"/>
        <w:kinsoku/>
        <w:overflowPunct/>
        <w:topLinePunct w:val="0"/>
        <w:bidi w:val="0"/>
        <w:spacing w:line="380" w:lineRule="exact"/>
        <w:ind w:left="0" w:firstLine="0"/>
        <w:rPr>
          <w:rFonts w:hint="eastAsia" w:ascii="仿宋" w:hAnsi="仿宋" w:eastAsia="仿宋" w:cs="仿宋"/>
          <w:color w:val="auto"/>
          <w:sz w:val="30"/>
          <w:szCs w:val="30"/>
          <w:highlight w:val="none"/>
        </w:rPr>
      </w:pPr>
      <w:bookmarkStart w:id="630" w:name="_Toc49352288"/>
      <w:bookmarkStart w:id="631" w:name="_Toc12956505"/>
    </w:p>
    <w:p w14:paraId="1F5F04D7">
      <w:pPr>
        <w:pStyle w:val="4"/>
        <w:pageBreakBefore w:val="0"/>
        <w:shd w:val="clear" w:color="auto" w:fill="FFFFFF"/>
        <w:kinsoku/>
        <w:overflowPunct/>
        <w:topLinePunct w:val="0"/>
        <w:bidi w:val="0"/>
        <w:spacing w:line="380" w:lineRule="exact"/>
        <w:ind w:left="0" w:firstLine="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示范格式</w:t>
      </w:r>
      <w:r>
        <w:rPr>
          <w:rFonts w:hint="eastAsia" w:ascii="仿宋" w:hAnsi="仿宋" w:eastAsia="仿宋" w:cs="仿宋"/>
          <w:color w:val="auto"/>
          <w:sz w:val="30"/>
          <w:szCs w:val="30"/>
          <w:highlight w:val="none"/>
          <w:lang w:val="en-US" w:eastAsia="zh-CN"/>
        </w:rPr>
        <w:t>四</w:t>
      </w:r>
    </w:p>
    <w:bookmarkEnd w:id="630"/>
    <w:bookmarkEnd w:id="631"/>
    <w:p w14:paraId="1575A873">
      <w:pPr>
        <w:pageBreakBefore w:val="0"/>
        <w:kinsoku/>
        <w:overflowPunct/>
        <w:topLinePunct w:val="0"/>
        <w:bidi w:val="0"/>
        <w:spacing w:line="380" w:lineRule="exact"/>
        <w:jc w:val="center"/>
        <w:rPr>
          <w:rFonts w:hint="eastAsia" w:ascii="仿宋" w:hAnsi="仿宋" w:eastAsia="仿宋" w:cs="仿宋"/>
          <w:b/>
          <w:bCs/>
          <w:color w:val="auto"/>
          <w:kern w:val="0"/>
          <w:sz w:val="32"/>
          <w:szCs w:val="32"/>
          <w:highlight w:val="none"/>
        </w:rPr>
      </w:pPr>
      <w:r>
        <w:rPr>
          <w:rFonts w:hint="eastAsia" w:ascii="仿宋" w:hAnsi="仿宋" w:eastAsia="仿宋" w:cs="仿宋"/>
          <w:b/>
          <w:bCs/>
          <w:color w:val="auto"/>
          <w:kern w:val="0"/>
          <w:sz w:val="32"/>
          <w:szCs w:val="32"/>
          <w:highlight w:val="none"/>
        </w:rPr>
        <w:t>企业声明函（</w:t>
      </w:r>
      <w:r>
        <w:rPr>
          <w:rFonts w:hint="eastAsia" w:ascii="仿宋" w:hAnsi="仿宋" w:eastAsia="仿宋" w:cs="仿宋"/>
          <w:b/>
          <w:bCs/>
          <w:color w:val="auto"/>
          <w:kern w:val="0"/>
          <w:sz w:val="32"/>
          <w:szCs w:val="32"/>
          <w:highlight w:val="none"/>
          <w:lang w:val="en-US" w:eastAsia="zh-CN"/>
        </w:rPr>
        <w:t>工程</w:t>
      </w:r>
      <w:r>
        <w:rPr>
          <w:rFonts w:hint="eastAsia" w:ascii="仿宋" w:hAnsi="仿宋" w:eastAsia="仿宋" w:cs="仿宋"/>
          <w:b/>
          <w:bCs/>
          <w:color w:val="auto"/>
          <w:kern w:val="0"/>
          <w:sz w:val="32"/>
          <w:szCs w:val="32"/>
          <w:highlight w:val="none"/>
        </w:rPr>
        <w:t>）</w:t>
      </w:r>
    </w:p>
    <w:p w14:paraId="0EC410D1">
      <w:pPr>
        <w:pStyle w:val="5"/>
        <w:keepNext w:val="0"/>
        <w:keepLines w:val="0"/>
        <w:pageBreakBefore w:val="0"/>
        <w:widowControl w:val="0"/>
        <w:kinsoku/>
        <w:wordWrap/>
        <w:overflowPunct/>
        <w:topLinePunct w:val="0"/>
        <w:bidi w:val="0"/>
        <w:snapToGrid/>
        <w:spacing w:line="480" w:lineRule="exact"/>
        <w:ind w:firstLine="56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致</w:t>
      </w:r>
      <w:r>
        <w:rPr>
          <w:rFonts w:hint="eastAsia" w:ascii="仿宋" w:hAnsi="仿宋" w:eastAsia="仿宋" w:cs="仿宋"/>
          <w:bCs/>
          <w:color w:val="auto"/>
          <w:sz w:val="28"/>
          <w:szCs w:val="28"/>
          <w:highlight w:val="none"/>
          <w:u w:val="single"/>
        </w:rPr>
        <w:t xml:space="preserve">         （采购人）</w:t>
      </w:r>
      <w:r>
        <w:rPr>
          <w:rFonts w:hint="eastAsia" w:ascii="仿宋" w:hAnsi="仿宋" w:eastAsia="仿宋" w:cs="仿宋"/>
          <w:bCs/>
          <w:color w:val="auto"/>
          <w:sz w:val="28"/>
          <w:szCs w:val="28"/>
          <w:highlight w:val="none"/>
          <w:u w:val="single"/>
          <w:lang w:eastAsia="zh-CN"/>
        </w:rPr>
        <w:t>：</w:t>
      </w:r>
    </w:p>
    <w:p w14:paraId="0FBD6E27">
      <w:pPr>
        <w:pStyle w:val="5"/>
        <w:keepNext w:val="0"/>
        <w:keepLines w:val="0"/>
        <w:pageBreakBefore w:val="0"/>
        <w:widowControl w:val="0"/>
        <w:kinsoku/>
        <w:wordWrap/>
        <w:overflowPunct/>
        <w:topLinePunct w:val="0"/>
        <w:bidi w:val="0"/>
        <w:snapToGrid/>
        <w:spacing w:line="480" w:lineRule="exact"/>
        <w:ind w:firstLine="560"/>
        <w:textAlignment w:val="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本公司郑重声明，根据《政府采购促进中小企业发展管理办法》（财库﹝2020﹞46 号）的规定，本公司参加（单位名称）的（项目名称）采购活动，服务全部由符合政策要求的中小企业承接。相关企业的具体情况如下：</w:t>
      </w:r>
    </w:p>
    <w:p w14:paraId="56770CAC">
      <w:pPr>
        <w:pStyle w:val="5"/>
        <w:keepNext w:val="0"/>
        <w:keepLines w:val="0"/>
        <w:pageBreakBefore w:val="0"/>
        <w:widowControl w:val="0"/>
        <w:kinsoku/>
        <w:wordWrap/>
        <w:overflowPunct/>
        <w:topLinePunct w:val="0"/>
        <w:bidi w:val="0"/>
        <w:snapToGrid/>
        <w:spacing w:line="480" w:lineRule="exact"/>
        <w:ind w:firstLine="560"/>
        <w:textAlignment w:val="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万元，属于</w:t>
      </w:r>
      <w:r>
        <w:rPr>
          <w:rFonts w:hint="eastAsia" w:ascii="仿宋" w:hAnsi="仿宋" w:eastAsia="仿宋"/>
          <w:bCs/>
          <w:color w:val="auto"/>
          <w:sz w:val="28"/>
          <w:szCs w:val="28"/>
          <w:highlight w:val="none"/>
          <w:u w:val="single"/>
        </w:rPr>
        <w:t>（中型企业、小型企业、微型企业）</w:t>
      </w:r>
      <w:r>
        <w:rPr>
          <w:rFonts w:hint="eastAsia" w:ascii="仿宋" w:hAnsi="仿宋" w:eastAsia="仿宋"/>
          <w:bCs/>
          <w:color w:val="auto"/>
          <w:sz w:val="28"/>
          <w:szCs w:val="28"/>
          <w:highlight w:val="none"/>
        </w:rPr>
        <w:t xml:space="preserve">； </w:t>
      </w:r>
    </w:p>
    <w:p w14:paraId="4B04771E">
      <w:pPr>
        <w:pStyle w:val="5"/>
        <w:keepNext w:val="0"/>
        <w:keepLines w:val="0"/>
        <w:pageBreakBefore w:val="0"/>
        <w:widowControl w:val="0"/>
        <w:kinsoku/>
        <w:wordWrap/>
        <w:overflowPunct/>
        <w:topLinePunct w:val="0"/>
        <w:bidi w:val="0"/>
        <w:snapToGrid/>
        <w:spacing w:line="480" w:lineRule="exact"/>
        <w:ind w:firstLine="560"/>
        <w:textAlignment w:val="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万元，属于</w:t>
      </w:r>
      <w:r>
        <w:rPr>
          <w:rFonts w:hint="eastAsia" w:ascii="仿宋" w:hAnsi="仿宋" w:eastAsia="仿宋"/>
          <w:bCs/>
          <w:color w:val="auto"/>
          <w:sz w:val="28"/>
          <w:szCs w:val="28"/>
          <w:highlight w:val="none"/>
          <w:u w:val="single"/>
        </w:rPr>
        <w:t>（中型企业、小型企业、微型企业）</w:t>
      </w:r>
      <w:r>
        <w:rPr>
          <w:rFonts w:hint="eastAsia" w:ascii="仿宋" w:hAnsi="仿宋" w:eastAsia="仿宋"/>
          <w:bCs/>
          <w:color w:val="auto"/>
          <w:sz w:val="28"/>
          <w:szCs w:val="28"/>
          <w:highlight w:val="none"/>
        </w:rPr>
        <w:t xml:space="preserve">； </w:t>
      </w:r>
    </w:p>
    <w:p w14:paraId="7933502E">
      <w:pPr>
        <w:pStyle w:val="5"/>
        <w:keepNext w:val="0"/>
        <w:keepLines w:val="0"/>
        <w:pageBreakBefore w:val="0"/>
        <w:widowControl w:val="0"/>
        <w:kinsoku/>
        <w:wordWrap/>
        <w:overflowPunct/>
        <w:topLinePunct w:val="0"/>
        <w:bidi w:val="0"/>
        <w:snapToGrid/>
        <w:spacing w:line="480" w:lineRule="exact"/>
        <w:ind w:firstLine="560"/>
        <w:textAlignment w:val="auto"/>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w:t>
      </w:r>
    </w:p>
    <w:p w14:paraId="35140405">
      <w:pPr>
        <w:pStyle w:val="5"/>
        <w:keepNext w:val="0"/>
        <w:keepLines w:val="0"/>
        <w:pageBreakBefore w:val="0"/>
        <w:widowControl w:val="0"/>
        <w:kinsoku/>
        <w:wordWrap/>
        <w:overflowPunct/>
        <w:topLinePunct w:val="0"/>
        <w:bidi w:val="0"/>
        <w:snapToGrid/>
        <w:spacing w:line="480" w:lineRule="exact"/>
        <w:ind w:firstLine="560"/>
        <w:textAlignment w:val="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以上企业，不属于大企业的分支机构，不存在控股股东为大企业的情形，也不存在与大企业的负责人为同一人的情形。</w:t>
      </w:r>
    </w:p>
    <w:p w14:paraId="0F7E9B7A">
      <w:pPr>
        <w:pStyle w:val="5"/>
        <w:keepNext w:val="0"/>
        <w:keepLines w:val="0"/>
        <w:pageBreakBefore w:val="0"/>
        <w:widowControl w:val="0"/>
        <w:kinsoku/>
        <w:wordWrap/>
        <w:overflowPunct/>
        <w:topLinePunct w:val="0"/>
        <w:bidi w:val="0"/>
        <w:snapToGrid/>
        <w:spacing w:line="480" w:lineRule="exact"/>
        <w:ind w:firstLine="560"/>
        <w:textAlignment w:val="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p>
    <w:p w14:paraId="634CA871">
      <w:pPr>
        <w:keepNext w:val="0"/>
        <w:keepLines w:val="0"/>
        <w:pageBreakBefore w:val="0"/>
        <w:widowControl w:val="0"/>
        <w:kinsoku/>
        <w:wordWrap/>
        <w:overflowPunct/>
        <w:topLinePunct w:val="0"/>
        <w:autoSpaceDE w:val="0"/>
        <w:autoSpaceDN w:val="0"/>
        <w:bidi w:val="0"/>
        <w:adjustRightInd w:val="0"/>
        <w:snapToGrid/>
        <w:spacing w:line="480" w:lineRule="exact"/>
        <w:jc w:val="center"/>
        <w:textAlignment w:val="auto"/>
        <w:rPr>
          <w:rFonts w:hint="eastAsia"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p>
    <w:p w14:paraId="1CB22719">
      <w:pPr>
        <w:keepNext w:val="0"/>
        <w:keepLines w:val="0"/>
        <w:pageBreakBefore w:val="0"/>
        <w:widowControl w:val="0"/>
        <w:kinsoku/>
        <w:wordWrap/>
        <w:overflowPunct/>
        <w:topLinePunct w:val="0"/>
        <w:autoSpaceDE w:val="0"/>
        <w:autoSpaceDN w:val="0"/>
        <w:bidi w:val="0"/>
        <w:adjustRightInd w:val="0"/>
        <w:snapToGrid/>
        <w:spacing w:line="480" w:lineRule="exact"/>
        <w:jc w:val="center"/>
        <w:textAlignment w:val="auto"/>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法定代表人</w:t>
      </w:r>
      <w:r>
        <w:rPr>
          <w:rFonts w:hint="eastAsia" w:ascii="仿宋" w:hAnsi="仿宋" w:eastAsia="仿宋"/>
          <w:color w:val="auto"/>
          <w:sz w:val="28"/>
          <w:szCs w:val="28"/>
          <w:highlight w:val="none"/>
          <w:lang w:eastAsia="zh-CN"/>
        </w:rPr>
        <w:t>：</w:t>
      </w:r>
      <w:r>
        <w:rPr>
          <w:rFonts w:hint="eastAsia" w:ascii="仿宋" w:hAnsi="仿宋" w:eastAsia="仿宋"/>
          <w:color w:val="auto"/>
          <w:sz w:val="28"/>
          <w:highlight w:val="none"/>
          <w:u w:val="single"/>
        </w:rPr>
        <w:t>（电子签章或电子签字）</w:t>
      </w:r>
    </w:p>
    <w:p w14:paraId="4799EBED">
      <w:pPr>
        <w:keepNext w:val="0"/>
        <w:keepLines w:val="0"/>
        <w:pageBreakBefore w:val="0"/>
        <w:widowControl w:val="0"/>
        <w:kinsoku/>
        <w:wordWrap/>
        <w:overflowPunct/>
        <w:topLinePunct w:val="0"/>
        <w:autoSpaceDE w:val="0"/>
        <w:autoSpaceDN w:val="0"/>
        <w:bidi w:val="0"/>
        <w:adjustRightInd w:val="0"/>
        <w:snapToGrid/>
        <w:spacing w:line="480" w:lineRule="exact"/>
        <w:jc w:val="center"/>
        <w:textAlignment w:val="auto"/>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51F0BC5A">
      <w:pPr>
        <w:pageBreakBefore w:val="0"/>
        <w:kinsoku/>
        <w:overflowPunct/>
        <w:topLinePunct w:val="0"/>
        <w:bidi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23862255">
      <w:pPr>
        <w:pStyle w:val="4"/>
        <w:pageBreakBefore w:val="0"/>
        <w:shd w:val="clear" w:color="auto" w:fill="FFFFFF"/>
        <w:kinsoku/>
        <w:overflowPunct/>
        <w:topLinePunct w:val="0"/>
        <w:bidi w:val="0"/>
        <w:spacing w:line="380" w:lineRule="exact"/>
        <w:ind w:left="0" w:firstLine="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示范格式</w:t>
      </w:r>
      <w:r>
        <w:rPr>
          <w:rFonts w:hint="eastAsia" w:ascii="仿宋" w:hAnsi="仿宋" w:eastAsia="仿宋" w:cs="仿宋"/>
          <w:color w:val="auto"/>
          <w:sz w:val="30"/>
          <w:szCs w:val="30"/>
          <w:highlight w:val="none"/>
          <w:lang w:val="en-US" w:eastAsia="zh-CN"/>
        </w:rPr>
        <w:t>五</w:t>
      </w:r>
    </w:p>
    <w:p w14:paraId="11F46214">
      <w:pPr>
        <w:pageBreakBefore w:val="0"/>
        <w:kinsoku/>
        <w:overflowPunct/>
        <w:topLinePunct w:val="0"/>
        <w:bidi w:val="0"/>
        <w:spacing w:line="380" w:lineRule="exac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残疾人福利性单位声明函</w:t>
      </w:r>
    </w:p>
    <w:p w14:paraId="71069EA3">
      <w:pPr>
        <w:pageBreakBefore w:val="0"/>
        <w:kinsoku/>
        <w:overflowPunct/>
        <w:topLinePunct w:val="0"/>
        <w:bidi w:val="0"/>
        <w:spacing w:line="380" w:lineRule="exact"/>
        <w:ind w:firstLine="504" w:firstLineChars="200"/>
        <w:rPr>
          <w:rFonts w:hint="eastAsia" w:ascii="仿宋" w:hAnsi="仿宋" w:eastAsia="仿宋" w:cs="仿宋"/>
          <w:color w:val="auto"/>
          <w:spacing w:val="6"/>
          <w:sz w:val="24"/>
          <w:highlight w:val="none"/>
        </w:rPr>
      </w:pPr>
    </w:p>
    <w:p w14:paraId="4DAD2948">
      <w:pPr>
        <w:pStyle w:val="5"/>
        <w:keepNext w:val="0"/>
        <w:keepLines w:val="0"/>
        <w:pageBreakBefore w:val="0"/>
        <w:widowControl w:val="0"/>
        <w:kinsoku/>
        <w:wordWrap/>
        <w:overflowPunct/>
        <w:topLinePunct w:val="0"/>
        <w:bidi w:val="0"/>
        <w:snapToGrid/>
        <w:spacing w:line="480" w:lineRule="exact"/>
        <w:ind w:firstLine="56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致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（采购人）</w:t>
      </w:r>
      <w:r>
        <w:rPr>
          <w:rFonts w:hint="eastAsia" w:ascii="仿宋" w:hAnsi="仿宋" w:eastAsia="仿宋" w:cs="仿宋"/>
          <w:bCs/>
          <w:color w:val="auto"/>
          <w:sz w:val="24"/>
          <w:szCs w:val="24"/>
          <w:highlight w:val="none"/>
          <w:lang w:eastAsia="zh-CN"/>
        </w:rPr>
        <w:t>：</w:t>
      </w:r>
    </w:p>
    <w:p w14:paraId="04A539D7">
      <w:pPr>
        <w:pStyle w:val="5"/>
        <w:keepNext w:val="0"/>
        <w:keepLines w:val="0"/>
        <w:pageBreakBefore w:val="0"/>
        <w:widowControl w:val="0"/>
        <w:kinsoku/>
        <w:wordWrap/>
        <w:overflowPunct/>
        <w:topLinePunct w:val="0"/>
        <w:bidi w:val="0"/>
        <w:snapToGrid/>
        <w:spacing w:line="48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auto"/>
          <w:sz w:val="28"/>
          <w:szCs w:val="28"/>
          <w:highlight w:val="none"/>
          <w:lang w:eastAsia="zh-CN"/>
        </w:rPr>
        <w:t>：</w:t>
      </w:r>
    </w:p>
    <w:p w14:paraId="427FE0AD">
      <w:pPr>
        <w:pStyle w:val="5"/>
        <w:keepNext w:val="0"/>
        <w:keepLines w:val="0"/>
        <w:pageBreakBefore w:val="0"/>
        <w:widowControl w:val="0"/>
        <w:kinsoku/>
        <w:wordWrap/>
        <w:overflowPunct/>
        <w:topLinePunct w:val="0"/>
        <w:bidi w:val="0"/>
        <w:snapToGrid/>
        <w:spacing w:line="48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1.</w:t>
      </w:r>
      <w:r>
        <w:rPr>
          <w:rFonts w:hint="eastAsia" w:ascii="仿宋" w:hAnsi="仿宋" w:eastAsia="仿宋"/>
          <w:bCs/>
          <w:color w:val="auto"/>
          <w:sz w:val="28"/>
          <w:szCs w:val="28"/>
          <w:highlight w:val="none"/>
        </w:rPr>
        <w:t>根据《财政部 民政部 中国残疾人联合会关于促进残疾人就业政府采购政策的通知》（财库〔2017〕141 号）规定的划分标准，本公司为残疾人福利性企业。</w:t>
      </w:r>
    </w:p>
    <w:p w14:paraId="27343D53">
      <w:pPr>
        <w:pStyle w:val="5"/>
        <w:keepNext w:val="0"/>
        <w:keepLines w:val="0"/>
        <w:pageBreakBefore w:val="0"/>
        <w:widowControl w:val="0"/>
        <w:kinsoku/>
        <w:wordWrap/>
        <w:overflowPunct/>
        <w:topLinePunct w:val="0"/>
        <w:bidi w:val="0"/>
        <w:snapToGrid/>
        <w:spacing w:line="48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2.</w:t>
      </w:r>
      <w:r>
        <w:rPr>
          <w:rFonts w:hint="eastAsia" w:ascii="仿宋" w:hAnsi="仿宋" w:eastAsia="仿宋"/>
          <w:bCs/>
          <w:color w:val="auto"/>
          <w:sz w:val="28"/>
          <w:szCs w:val="28"/>
          <w:highlight w:val="none"/>
        </w:rPr>
        <w:t>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的（采购项目名称）采购活动提供本企业制造的货物，由本企业承担工程、提供服务，或者提供其他残疾人福利性单位制造的货物（不包括使用非残疾人福利性单位注册商标的货物。</w:t>
      </w:r>
    </w:p>
    <w:p w14:paraId="757E8513">
      <w:pPr>
        <w:pStyle w:val="5"/>
        <w:keepNext w:val="0"/>
        <w:keepLines w:val="0"/>
        <w:pageBreakBefore w:val="0"/>
        <w:widowControl w:val="0"/>
        <w:kinsoku/>
        <w:wordWrap/>
        <w:overflowPunct/>
        <w:topLinePunct w:val="0"/>
        <w:bidi w:val="0"/>
        <w:snapToGrid/>
        <w:spacing w:line="480" w:lineRule="exact"/>
        <w:ind w:firstLine="560"/>
        <w:rPr>
          <w:rFonts w:hint="eastAsia" w:ascii="仿宋" w:hAnsi="仿宋" w:eastAsia="仿宋"/>
          <w:bCs/>
          <w:color w:val="auto"/>
          <w:sz w:val="28"/>
          <w:szCs w:val="28"/>
          <w:highlight w:val="none"/>
        </w:rPr>
      </w:pPr>
      <w:r>
        <w:rPr>
          <w:rFonts w:hint="eastAsia" w:ascii="仿宋" w:hAnsi="仿宋" w:eastAsia="仿宋" w:cs="仿宋_GB2312"/>
          <w:color w:val="auto"/>
          <w:kern w:val="0"/>
          <w:sz w:val="28"/>
          <w:szCs w:val="28"/>
          <w:highlight w:val="none"/>
        </w:rPr>
        <w:t>注</w:t>
      </w:r>
      <w:r>
        <w:rPr>
          <w:rFonts w:hint="eastAsia" w:ascii="仿宋" w:hAnsi="仿宋" w:eastAsia="仿宋" w:cs="仿宋_GB2312"/>
          <w:color w:val="auto"/>
          <w:kern w:val="0"/>
          <w:sz w:val="28"/>
          <w:szCs w:val="28"/>
          <w:highlight w:val="none"/>
          <w:lang w:eastAsia="zh-CN"/>
        </w:rPr>
        <w:t>：</w:t>
      </w:r>
      <w:r>
        <w:rPr>
          <w:rFonts w:hint="eastAsia" w:ascii="仿宋" w:hAnsi="仿宋" w:eastAsia="仿宋"/>
          <w:bCs/>
          <w:color w:val="auto"/>
          <w:sz w:val="28"/>
          <w:szCs w:val="28"/>
          <w:highlight w:val="none"/>
        </w:rPr>
        <w:t>本公司对上述声明的真实性负责。如有虚假，将依法承担相应责任。</w:t>
      </w:r>
    </w:p>
    <w:p w14:paraId="5CA983B5">
      <w:pPr>
        <w:pStyle w:val="5"/>
        <w:keepNext w:val="0"/>
        <w:keepLines w:val="0"/>
        <w:pageBreakBefore w:val="0"/>
        <w:widowControl w:val="0"/>
        <w:kinsoku/>
        <w:wordWrap/>
        <w:overflowPunct/>
        <w:topLinePunct w:val="0"/>
        <w:bidi w:val="0"/>
        <w:snapToGrid/>
        <w:spacing w:line="480" w:lineRule="exact"/>
        <w:ind w:firstLine="560"/>
        <w:rPr>
          <w:rFonts w:ascii="仿宋" w:hAnsi="仿宋" w:eastAsia="仿宋"/>
          <w:color w:val="auto"/>
          <w:sz w:val="28"/>
          <w:szCs w:val="28"/>
          <w:highlight w:val="none"/>
        </w:rPr>
      </w:pPr>
    </w:p>
    <w:p w14:paraId="5243EE03">
      <w:pPr>
        <w:keepNext w:val="0"/>
        <w:keepLines w:val="0"/>
        <w:pageBreakBefore w:val="0"/>
        <w:widowControl w:val="0"/>
        <w:kinsoku/>
        <w:wordWrap/>
        <w:overflowPunct/>
        <w:topLinePunct w:val="0"/>
        <w:autoSpaceDE w:val="0"/>
        <w:autoSpaceDN w:val="0"/>
        <w:bidi w:val="0"/>
        <w:adjustRightInd w:val="0"/>
        <w:snapToGrid/>
        <w:spacing w:line="480" w:lineRule="exact"/>
        <w:jc w:val="center"/>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p>
    <w:p w14:paraId="43E6ADDE">
      <w:pPr>
        <w:keepNext w:val="0"/>
        <w:keepLines w:val="0"/>
        <w:pageBreakBefore w:val="0"/>
        <w:widowControl w:val="0"/>
        <w:kinsoku/>
        <w:wordWrap/>
        <w:overflowPunct/>
        <w:topLinePunct w:val="0"/>
        <w:autoSpaceDE w:val="0"/>
        <w:autoSpaceDN w:val="0"/>
        <w:bidi w:val="0"/>
        <w:adjustRightInd w:val="0"/>
        <w:snapToGrid/>
        <w:spacing w:line="480" w:lineRule="exact"/>
        <w:jc w:val="center"/>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法定代表人</w:t>
      </w:r>
      <w:r>
        <w:rPr>
          <w:rFonts w:hint="eastAsia" w:ascii="仿宋" w:hAnsi="仿宋" w:eastAsia="仿宋"/>
          <w:color w:val="auto"/>
          <w:sz w:val="28"/>
          <w:szCs w:val="28"/>
          <w:highlight w:val="none"/>
          <w:lang w:eastAsia="zh-CN"/>
        </w:rPr>
        <w:t>：</w:t>
      </w:r>
      <w:r>
        <w:rPr>
          <w:rFonts w:hint="eastAsia" w:ascii="仿宋" w:hAnsi="仿宋" w:eastAsia="仿宋"/>
          <w:color w:val="auto"/>
          <w:sz w:val="28"/>
          <w:highlight w:val="none"/>
          <w:u w:val="single"/>
        </w:rPr>
        <w:t>（电子签章或电子签字）</w:t>
      </w:r>
    </w:p>
    <w:p w14:paraId="2D734A6A">
      <w:pPr>
        <w:keepNext w:val="0"/>
        <w:keepLines w:val="0"/>
        <w:pageBreakBefore w:val="0"/>
        <w:widowControl w:val="0"/>
        <w:kinsoku/>
        <w:wordWrap/>
        <w:overflowPunct/>
        <w:topLinePunct w:val="0"/>
        <w:autoSpaceDE w:val="0"/>
        <w:autoSpaceDN w:val="0"/>
        <w:bidi w:val="0"/>
        <w:adjustRightInd w:val="0"/>
        <w:snapToGrid/>
        <w:spacing w:line="480" w:lineRule="exact"/>
        <w:jc w:val="center"/>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7DE22EFA">
      <w:pPr>
        <w:keepNext w:val="0"/>
        <w:keepLines w:val="0"/>
        <w:pageBreakBefore w:val="0"/>
        <w:widowControl w:val="0"/>
        <w:kinsoku/>
        <w:wordWrap/>
        <w:overflowPunct/>
        <w:topLinePunct w:val="0"/>
        <w:bidi w:val="0"/>
        <w:snapToGrid/>
        <w:spacing w:line="480" w:lineRule="exact"/>
        <w:ind w:firstLine="565" w:firstLineChars="202"/>
        <w:rPr>
          <w:rFonts w:hint="eastAsia" w:ascii="仿宋" w:hAnsi="仿宋" w:eastAsia="仿宋"/>
          <w:color w:val="auto"/>
          <w:sz w:val="28"/>
          <w:szCs w:val="28"/>
          <w:highlight w:val="none"/>
        </w:rPr>
      </w:pPr>
      <w:r>
        <w:rPr>
          <w:rFonts w:hint="eastAsia" w:ascii="仿宋" w:hAnsi="仿宋" w:eastAsia="仿宋" w:cs="仿宋_GB2312"/>
          <w:color w:val="auto"/>
          <w:kern w:val="0"/>
          <w:sz w:val="28"/>
          <w:szCs w:val="28"/>
          <w:highlight w:val="none"/>
        </w:rPr>
        <w:t>注</w:t>
      </w:r>
      <w:r>
        <w:rPr>
          <w:rFonts w:hint="eastAsia" w:ascii="仿宋" w:hAnsi="仿宋" w:eastAsia="仿宋" w:cs="仿宋_GB2312"/>
          <w:color w:val="auto"/>
          <w:kern w:val="0"/>
          <w:sz w:val="28"/>
          <w:szCs w:val="28"/>
          <w:highlight w:val="none"/>
          <w:lang w:eastAsia="zh-CN"/>
        </w:rPr>
        <w:t>：</w:t>
      </w:r>
      <w:r>
        <w:rPr>
          <w:rFonts w:hint="eastAsia" w:ascii="仿宋" w:hAnsi="仿宋" w:eastAsia="仿宋"/>
          <w:color w:val="auto"/>
          <w:sz w:val="28"/>
          <w:szCs w:val="28"/>
          <w:highlight w:val="none"/>
        </w:rPr>
        <w:t>非</w:t>
      </w:r>
      <w:r>
        <w:rPr>
          <w:rFonts w:hint="eastAsia" w:ascii="仿宋" w:hAnsi="仿宋" w:eastAsia="仿宋"/>
          <w:color w:val="auto"/>
          <w:sz w:val="28"/>
          <w:highlight w:val="none"/>
        </w:rPr>
        <w:t>残疾人福利性单位不</w:t>
      </w:r>
      <w:r>
        <w:rPr>
          <w:rFonts w:hint="eastAsia" w:ascii="仿宋" w:hAnsi="仿宋" w:eastAsia="仿宋"/>
          <w:color w:val="auto"/>
          <w:sz w:val="28"/>
          <w:szCs w:val="28"/>
          <w:highlight w:val="none"/>
        </w:rPr>
        <w:t>需提供此函。</w:t>
      </w:r>
    </w:p>
    <w:p w14:paraId="74451AB8">
      <w:pPr>
        <w:pStyle w:val="37"/>
        <w:keepNext w:val="0"/>
        <w:keepLines w:val="0"/>
        <w:pageBreakBefore w:val="0"/>
        <w:widowControl w:val="0"/>
        <w:kinsoku/>
        <w:wordWrap/>
        <w:overflowPunct/>
        <w:topLinePunct w:val="0"/>
        <w:bidi w:val="0"/>
        <w:snapToGrid/>
        <w:spacing w:line="480" w:lineRule="exact"/>
        <w:ind w:left="0" w:leftChars="0" w:firstLine="0" w:firstLineChars="0"/>
        <w:rPr>
          <w:rFonts w:hint="eastAsia" w:ascii="宋体" w:hAnsi="宋体" w:eastAsia="宋体" w:cs="宋体"/>
          <w:color w:val="auto"/>
          <w:sz w:val="24"/>
          <w:highlight w:val="none"/>
        </w:rPr>
      </w:pPr>
    </w:p>
    <w:p w14:paraId="71332CBE">
      <w:pPr>
        <w:keepNext w:val="0"/>
        <w:keepLines w:val="0"/>
        <w:pageBreakBefore w:val="0"/>
        <w:widowControl w:val="0"/>
        <w:kinsoku/>
        <w:wordWrap/>
        <w:overflowPunct/>
        <w:topLinePunct w:val="0"/>
        <w:bidi w:val="0"/>
        <w:snapToGrid/>
        <w:spacing w:line="480" w:lineRule="exact"/>
        <w:rPr>
          <w:rFonts w:hint="eastAsia" w:ascii="宋体" w:hAnsi="宋体" w:eastAsia="宋体" w:cs="宋体"/>
          <w:color w:val="auto"/>
          <w:sz w:val="24"/>
          <w:highlight w:val="none"/>
        </w:rPr>
      </w:pPr>
    </w:p>
    <w:p w14:paraId="5406EEB4">
      <w:pPr>
        <w:pageBreakBefore w:val="0"/>
        <w:kinsoku/>
        <w:overflowPunct/>
        <w:topLinePunct w:val="0"/>
        <w:bidi w:val="0"/>
        <w:spacing w:line="380" w:lineRule="exact"/>
        <w:rPr>
          <w:rFonts w:hint="eastAsia" w:ascii="宋体" w:hAnsi="宋体" w:eastAsia="宋体" w:cs="宋体"/>
          <w:color w:val="auto"/>
          <w:highlight w:val="none"/>
        </w:rPr>
      </w:pPr>
    </w:p>
    <w:p w14:paraId="7A2AD877">
      <w:pPr>
        <w:pageBreakBefore w:val="0"/>
        <w:kinsoku/>
        <w:overflowPunct/>
        <w:topLinePunct w:val="0"/>
        <w:bidi w:val="0"/>
        <w:spacing w:line="380" w:lineRule="exact"/>
        <w:rPr>
          <w:color w:val="auto"/>
          <w:highlight w:val="none"/>
        </w:rPr>
      </w:pPr>
    </w:p>
    <w:sectPr>
      <w:pgSz w:w="11906" w:h="16838"/>
      <w:pgMar w:top="1440" w:right="1474" w:bottom="1440" w:left="1474"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D9AEF1F-116A-40B8-A86E-7D3967517399}"/>
  </w:font>
  <w:font w:name="黑体">
    <w:panose1 w:val="02010609060101010101"/>
    <w:charset w:val="86"/>
    <w:family w:val="auto"/>
    <w:pitch w:val="default"/>
    <w:sig w:usb0="800002BF" w:usb1="38CF7CFA" w:usb2="00000016" w:usb3="00000000" w:csb0="00040001" w:csb1="00000000"/>
    <w:embedRegular r:id="rId2" w:fontKey="{9173D997-A744-4AB2-8629-F5E29FCC368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swiss"/>
    <w:pitch w:val="default"/>
    <w:sig w:usb0="00000000" w:usb1="00000000" w:usb2="00000000" w:usb3="00000000" w:csb0="00040000" w:csb1="00000000"/>
    <w:embedRegular r:id="rId3" w:fontKey="{7C8B0BB4-DCEF-4C48-B504-A0F57FBF04D9}"/>
  </w:font>
  <w:font w:name="仿宋">
    <w:panose1 w:val="02010609060101010101"/>
    <w:charset w:val="86"/>
    <w:family w:val="auto"/>
    <w:pitch w:val="default"/>
    <w:sig w:usb0="800002BF" w:usb1="38CF7CFA" w:usb2="00000016" w:usb3="00000000" w:csb0="00040001" w:csb1="00000000"/>
    <w:embedRegular r:id="rId4" w:fontKey="{E74518BE-269A-46BC-ADAD-E01FC0D8EB1B}"/>
  </w:font>
  <w:font w:name="Verdana">
    <w:panose1 w:val="020B0604030504040204"/>
    <w:charset w:val="00"/>
    <w:family w:val="decorative"/>
    <w:pitch w:val="default"/>
    <w:sig w:usb0="A00006FF" w:usb1="4000205B" w:usb2="00000010" w:usb3="00000000" w:csb0="2000019F" w:csb1="00000000"/>
  </w:font>
  <w:font w:name="方正仿宋简体">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Adobe 仿宋 Std R">
    <w:altName w:val="仿宋"/>
    <w:panose1 w:val="02020400000000000000"/>
    <w:charset w:val="86"/>
    <w:family w:val="modern"/>
    <w:pitch w:val="default"/>
    <w:sig w:usb0="00000000" w:usb1="00000000" w:usb2="00000016" w:usb3="00000000" w:csb0="00060007" w:csb1="00000000"/>
  </w:font>
  <w:font w:name="Segoe UI">
    <w:panose1 w:val="020B0502040204020203"/>
    <w:charset w:val="00"/>
    <w:family w:val="auto"/>
    <w:pitch w:val="default"/>
    <w:sig w:usb0="E4002EFF" w:usb1="C000E47F" w:usb2="00000009" w:usb3="00000000" w:csb0="200001FF" w:csb1="00000000"/>
  </w:font>
  <w:font w:name="方正仿宋_GB2312">
    <w:panose1 w:val="02000000000000000000"/>
    <w:charset w:val="86"/>
    <w:family w:val="auto"/>
    <w:pitch w:val="default"/>
    <w:sig w:usb0="A00002BF" w:usb1="184F6CFA" w:usb2="00000012" w:usb3="00000000" w:csb0="00040001" w:csb1="00000000"/>
    <w:embedRegular r:id="rId5" w:fontKey="{19391B92-272F-42DC-A0FD-1101B391374B}"/>
  </w:font>
  <w:font w:name="等线">
    <w:panose1 w:val="02010600030101010101"/>
    <w:charset w:val="86"/>
    <w:family w:val="auto"/>
    <w:pitch w:val="default"/>
    <w:sig w:usb0="A00002BF" w:usb1="38CF7CFA" w:usb2="00000016" w:usb3="00000000" w:csb0="0004000F" w:csb1="00000000"/>
    <w:embedRegular r:id="rId6" w:fontKey="{46C63A7F-1D20-44E9-A82C-8BCC3A11E6E9}"/>
  </w:font>
  <w:font w:name="楷体_GB2312">
    <w:altName w:val="楷体"/>
    <w:panose1 w:val="02010609030101010101"/>
    <w:charset w:val="86"/>
    <w:family w:val="modern"/>
    <w:pitch w:val="default"/>
    <w:sig w:usb0="00000000" w:usb1="00000000" w:usb2="00000000" w:usb3="00000000" w:csb0="00040000" w:csb1="00000000"/>
    <w:embedRegular r:id="rId7" w:fontKey="{2249FFF7-6BEF-4984-BD09-D853038D741C}"/>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ACF85">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46ED8">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5415" cy="139065"/>
              <wp:effectExtent l="0" t="0" r="0" b="0"/>
              <wp:wrapNone/>
              <wp:docPr id="29" name="文本框 1025 3"/>
              <wp:cNvGraphicFramePr/>
              <a:graphic xmlns:a="http://schemas.openxmlformats.org/drawingml/2006/main">
                <a:graphicData uri="http://schemas.microsoft.com/office/word/2010/wordprocessingShape">
                  <wps:wsp>
                    <wps:cNvSpPr txBox="1"/>
                    <wps:spPr>
                      <a:xfrm>
                        <a:off x="0" y="0"/>
                        <a:ext cx="145415" cy="139065"/>
                      </a:xfrm>
                      <a:prstGeom prst="rect">
                        <a:avLst/>
                      </a:prstGeom>
                      <a:noFill/>
                      <a:ln>
                        <a:noFill/>
                      </a:ln>
                    </wps:spPr>
                    <wps:txbx>
                      <w:txbxContent>
                        <w:p w14:paraId="0B676E9C">
                          <w:pPr>
                            <w:pStyle w:val="11"/>
                          </w:pPr>
                          <w:r>
                            <w:fldChar w:fldCharType="begin"/>
                          </w:r>
                          <w:r>
                            <w:instrText xml:space="preserve"> PAGE  \* MERGEFORMAT </w:instrText>
                          </w:r>
                          <w:r>
                            <w:fldChar w:fldCharType="separate"/>
                          </w:r>
                          <w:r>
                            <w:t>39</w:t>
                          </w:r>
                          <w:r>
                            <w:fldChar w:fldCharType="end"/>
                          </w:r>
                        </w:p>
                      </w:txbxContent>
                    </wps:txbx>
                    <wps:bodyPr wrap="none" lIns="0" tIns="0" rIns="0" bIns="0" upright="1">
                      <a:spAutoFit/>
                    </wps:bodyPr>
                  </wps:wsp>
                </a:graphicData>
              </a:graphic>
            </wp:anchor>
          </w:drawing>
        </mc:Choice>
        <mc:Fallback>
          <w:pict>
            <v:shape id="文本框 1025 3" o:spid="_x0000_s1026" o:spt="202" type="#_x0000_t202" style="position:absolute;left:0pt;margin-top:0pt;height:10.95pt;width:11.45pt;mso-position-horizontal:center;mso-position-horizontal-relative:margin;mso-wrap-style:none;z-index:251660288;mso-width-relative:page;mso-height-relative:page;" filled="f" stroked="f" coordsize="21600,21600" o:gfxdata="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&#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p2cq0dAAAAADAQAADwAAAAAAAAABACAAAAAiAAAAZHJz&#10;L2Rvd25yZXYueG1sUEsBAhQAFAAAAAgAh07iQJFYQW/TAQAAnQMAAA4AAAAAAAAAAQAgAAAAHwEA&#10;AGRycy9lMm9Eb2MueG1sUEsFBgAAAAAGAAYAWQEAAGQFAAAAAA==&#10;">
              <v:fill on="f" focussize="0,0"/>
              <v:stroke on="f"/>
              <v:imagedata o:title=""/>
              <o:lock v:ext="edit" aspectratio="f"/>
              <v:textbox inset="0mm,0mm,0mm,0mm" style="mso-fit-shape-to-text:t;">
                <w:txbxContent>
                  <w:p w14:paraId="0B676E9C">
                    <w:pPr>
                      <w:pStyle w:val="11"/>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724A4">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2A66DCE">
                          <w:pPr>
                            <w:pStyle w:val="11"/>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20L4sgBAACZ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mUOG5x4Ocf388/f59/fSPL&#10;LE8foMasx4B5abjxQ06d/IDOzHpQ0eYv8iEYR3FPF3HlkIjIj1bL1arCkMDYfEEc9vQ8REh30luS&#10;jYZGnF4RlR/vIY2pc0qu5vytNgb9vDbuLwdiZg/LvY89ZisNu2FqfOfbE/LpcfANdbjnlJiPDnXN&#10;OzIbcTZ2s3EIUe+7skS5HoQPh4RNlN5yhRF2KowTK+ym7cor8fxesp7+qM0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dtC+LIAQAAmQMAAA4AAAAAAAAAAQAgAAAAHgEAAGRycy9lMm9Eb2Mu&#10;eG1sUEsFBgAAAAAGAAYAWQEAAFgFAAAAAA==&#10;">
              <v:fill on="f" focussize="0,0"/>
              <v:stroke on="f"/>
              <v:imagedata o:title=""/>
              <o:lock v:ext="edit" aspectratio="f"/>
              <v:textbox inset="0mm,0mm,0mm,0mm" style="mso-fit-shape-to-text:t;">
                <w:txbxContent>
                  <w:p w14:paraId="62A66DCE">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A81ED2"/>
    <w:multiLevelType w:val="singleLevel"/>
    <w:tmpl w:val="B3A81ED2"/>
    <w:lvl w:ilvl="0" w:tentative="0">
      <w:start w:val="1"/>
      <w:numFmt w:val="bullet"/>
      <w:pStyle w:val="8"/>
      <w:lvlText w:val=""/>
      <w:lvlJc w:val="left"/>
      <w:pPr>
        <w:tabs>
          <w:tab w:val="left" w:pos="780"/>
        </w:tabs>
        <w:ind w:left="780" w:hanging="360"/>
      </w:pPr>
      <w:rPr>
        <w:rFonts w:hint="default" w:ascii="Wingdings" w:hAnsi="Wingdings"/>
      </w:rPr>
    </w:lvl>
  </w:abstractNum>
  <w:abstractNum w:abstractNumId="1">
    <w:nsid w:val="BB6C8C99"/>
    <w:multiLevelType w:val="singleLevel"/>
    <w:tmpl w:val="BB6C8C99"/>
    <w:lvl w:ilvl="0" w:tentative="0">
      <w:start w:val="14"/>
      <w:numFmt w:val="decimal"/>
      <w:suff w:val="space"/>
      <w:lvlText w:val="%1."/>
      <w:lvlJc w:val="left"/>
    </w:lvl>
  </w:abstractNum>
  <w:abstractNum w:abstractNumId="2">
    <w:nsid w:val="C9064A1A"/>
    <w:multiLevelType w:val="singleLevel"/>
    <w:tmpl w:val="C9064A1A"/>
    <w:lvl w:ilvl="0" w:tentative="0">
      <w:start w:val="1"/>
      <w:numFmt w:val="decimal"/>
      <w:suff w:val="space"/>
      <w:lvlText w:val="%1."/>
      <w:lvlJc w:val="left"/>
    </w:lvl>
  </w:abstractNum>
  <w:abstractNum w:abstractNumId="3">
    <w:nsid w:val="DE448067"/>
    <w:multiLevelType w:val="singleLevel"/>
    <w:tmpl w:val="DE448067"/>
    <w:lvl w:ilvl="0" w:tentative="0">
      <w:start w:val="1"/>
      <w:numFmt w:val="decimal"/>
      <w:suff w:val="space"/>
      <w:lvlText w:val="%1."/>
      <w:lvlJc w:val="left"/>
    </w:lvl>
  </w:abstractNum>
  <w:abstractNum w:abstractNumId="4">
    <w:nsid w:val="E32ABDB3"/>
    <w:multiLevelType w:val="singleLevel"/>
    <w:tmpl w:val="E32ABDB3"/>
    <w:lvl w:ilvl="0" w:tentative="0">
      <w:start w:val="1"/>
      <w:numFmt w:val="decimal"/>
      <w:suff w:val="nothing"/>
      <w:lvlText w:val="（%1）"/>
      <w:lvlJc w:val="left"/>
    </w:lvl>
  </w:abstractNum>
  <w:abstractNum w:abstractNumId="5">
    <w:nsid w:val="0053208E"/>
    <w:multiLevelType w:val="multilevel"/>
    <w:tmpl w:val="0053208E"/>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442A989D"/>
    <w:multiLevelType w:val="singleLevel"/>
    <w:tmpl w:val="442A989D"/>
    <w:lvl w:ilvl="0" w:tentative="0">
      <w:start w:val="18"/>
      <w:numFmt w:val="decimal"/>
      <w:suff w:val="space"/>
      <w:lvlText w:val="%1."/>
      <w:lvlJc w:val="left"/>
    </w:lvl>
  </w:abstractNum>
  <w:abstractNum w:abstractNumId="7">
    <w:nsid w:val="486BC9F1"/>
    <w:multiLevelType w:val="singleLevel"/>
    <w:tmpl w:val="486BC9F1"/>
    <w:lvl w:ilvl="0" w:tentative="0">
      <w:start w:val="1"/>
      <w:numFmt w:val="decimal"/>
      <w:suff w:val="space"/>
      <w:lvlText w:val="%1."/>
      <w:lvlJc w:val="left"/>
    </w:lvl>
  </w:abstractNum>
  <w:abstractNum w:abstractNumId="8">
    <w:nsid w:val="4F524BDB"/>
    <w:multiLevelType w:val="singleLevel"/>
    <w:tmpl w:val="4F524BDB"/>
    <w:lvl w:ilvl="0" w:tentative="0">
      <w:start w:val="3"/>
      <w:numFmt w:val="chineseCounting"/>
      <w:suff w:val="nothing"/>
      <w:lvlText w:val="%1、"/>
      <w:lvlJc w:val="left"/>
      <w:rPr>
        <w:rFonts w:hint="eastAsia"/>
      </w:rPr>
    </w:lvl>
  </w:abstractNum>
  <w:abstractNum w:abstractNumId="9">
    <w:nsid w:val="5A2706E8"/>
    <w:multiLevelType w:val="singleLevel"/>
    <w:tmpl w:val="5A2706E8"/>
    <w:lvl w:ilvl="0" w:tentative="0">
      <w:start w:val="1"/>
      <w:numFmt w:val="decimal"/>
      <w:suff w:val="space"/>
      <w:lvlText w:val="%1."/>
      <w:lvlJc w:val="left"/>
    </w:lvl>
  </w:abstractNum>
  <w:abstractNum w:abstractNumId="10">
    <w:nsid w:val="650C1499"/>
    <w:multiLevelType w:val="singleLevel"/>
    <w:tmpl w:val="650C1499"/>
    <w:lvl w:ilvl="0" w:tentative="0">
      <w:start w:val="4"/>
      <w:numFmt w:val="chineseCounting"/>
      <w:suff w:val="space"/>
      <w:lvlText w:val="第%1章"/>
      <w:lvlJc w:val="left"/>
    </w:lvl>
  </w:abstractNum>
  <w:abstractNum w:abstractNumId="11">
    <w:nsid w:val="79401071"/>
    <w:multiLevelType w:val="singleLevel"/>
    <w:tmpl w:val="79401071"/>
    <w:lvl w:ilvl="0" w:tentative="0">
      <w:start w:val="1"/>
      <w:numFmt w:val="decimal"/>
      <w:suff w:val="nothing"/>
      <w:lvlText w:val="%1、"/>
      <w:lvlJc w:val="left"/>
    </w:lvl>
  </w:abstractNum>
  <w:num w:numId="1">
    <w:abstractNumId w:val="0"/>
  </w:num>
  <w:num w:numId="2">
    <w:abstractNumId w:val="5"/>
  </w:num>
  <w:num w:numId="3">
    <w:abstractNumId w:val="7"/>
  </w:num>
  <w:num w:numId="4">
    <w:abstractNumId w:val="9"/>
  </w:num>
  <w:num w:numId="5">
    <w:abstractNumId w:val="2"/>
  </w:num>
  <w:num w:numId="6">
    <w:abstractNumId w:val="3"/>
  </w:num>
  <w:num w:numId="7">
    <w:abstractNumId w:val="10"/>
  </w:num>
  <w:num w:numId="8">
    <w:abstractNumId w:val="8"/>
  </w:num>
  <w:num w:numId="9">
    <w:abstractNumId w:val="4"/>
  </w:num>
  <w:num w:numId="10">
    <w:abstractNumId w:val="1"/>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TrueTypeFonts/>
  <w:saveSubsetFonts/>
  <w:bordersDoNotSurroundHeader w:val="0"/>
  <w:bordersDoNotSurroundFooter w:val="0"/>
  <w:documentProtection w:enforcement="0"/>
  <w:defaultTabStop w:val="420"/>
  <w:drawingGridHorizontalSpacing w:val="210"/>
  <w:drawingGridVerticalSpacing w:val="9999999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dkZDU4NzY3ZDk1MDRmYjE3ZWIzMWI3YWMzYWUxMDgifQ=="/>
  </w:docVars>
  <w:rsids>
    <w:rsidRoot w:val="00000000"/>
    <w:rsid w:val="002E336F"/>
    <w:rsid w:val="00B32474"/>
    <w:rsid w:val="01041002"/>
    <w:rsid w:val="028D5673"/>
    <w:rsid w:val="029E5550"/>
    <w:rsid w:val="02C72207"/>
    <w:rsid w:val="03097496"/>
    <w:rsid w:val="033B56D0"/>
    <w:rsid w:val="034A3564"/>
    <w:rsid w:val="03624413"/>
    <w:rsid w:val="03766107"/>
    <w:rsid w:val="042711AF"/>
    <w:rsid w:val="042F2727"/>
    <w:rsid w:val="04D37589"/>
    <w:rsid w:val="04E57B89"/>
    <w:rsid w:val="056A57F8"/>
    <w:rsid w:val="057B5C57"/>
    <w:rsid w:val="05933998"/>
    <w:rsid w:val="05DD06BF"/>
    <w:rsid w:val="06372EA7"/>
    <w:rsid w:val="06545198"/>
    <w:rsid w:val="066B473C"/>
    <w:rsid w:val="066E30C6"/>
    <w:rsid w:val="0790350F"/>
    <w:rsid w:val="07AB63D5"/>
    <w:rsid w:val="08E81899"/>
    <w:rsid w:val="09195568"/>
    <w:rsid w:val="098F1C3F"/>
    <w:rsid w:val="09CE19A4"/>
    <w:rsid w:val="0A5F7E7A"/>
    <w:rsid w:val="0A6570E6"/>
    <w:rsid w:val="0A7422CB"/>
    <w:rsid w:val="0B2D19A7"/>
    <w:rsid w:val="0BB06CD5"/>
    <w:rsid w:val="0BBE689D"/>
    <w:rsid w:val="0C637445"/>
    <w:rsid w:val="0CD7315C"/>
    <w:rsid w:val="0E042EEA"/>
    <w:rsid w:val="0E7D5E53"/>
    <w:rsid w:val="0EA14B4E"/>
    <w:rsid w:val="0ECF0DC1"/>
    <w:rsid w:val="0ECF491D"/>
    <w:rsid w:val="0EF95E3E"/>
    <w:rsid w:val="0F184516"/>
    <w:rsid w:val="0F701A91"/>
    <w:rsid w:val="0F7D081D"/>
    <w:rsid w:val="0F8C6809"/>
    <w:rsid w:val="10A00A5C"/>
    <w:rsid w:val="11BC721D"/>
    <w:rsid w:val="11E84603"/>
    <w:rsid w:val="12174F59"/>
    <w:rsid w:val="123F1DBA"/>
    <w:rsid w:val="13290955"/>
    <w:rsid w:val="14033B64"/>
    <w:rsid w:val="140C2170"/>
    <w:rsid w:val="14593607"/>
    <w:rsid w:val="14A71569"/>
    <w:rsid w:val="15C06AE7"/>
    <w:rsid w:val="1661078A"/>
    <w:rsid w:val="16EC57A7"/>
    <w:rsid w:val="17287980"/>
    <w:rsid w:val="17397720"/>
    <w:rsid w:val="17AF353E"/>
    <w:rsid w:val="18BA56B1"/>
    <w:rsid w:val="18FC2292"/>
    <w:rsid w:val="19405806"/>
    <w:rsid w:val="19461C80"/>
    <w:rsid w:val="19C21C4E"/>
    <w:rsid w:val="1A701343"/>
    <w:rsid w:val="1AAF5237"/>
    <w:rsid w:val="1B193AF0"/>
    <w:rsid w:val="1B2E3A89"/>
    <w:rsid w:val="1B7649DE"/>
    <w:rsid w:val="1BD5797C"/>
    <w:rsid w:val="1BE22134"/>
    <w:rsid w:val="1C556DAA"/>
    <w:rsid w:val="1C99656B"/>
    <w:rsid w:val="1E212F46"/>
    <w:rsid w:val="1EC044AE"/>
    <w:rsid w:val="1F86337C"/>
    <w:rsid w:val="1F8A5C89"/>
    <w:rsid w:val="1FA871F0"/>
    <w:rsid w:val="1FEB532F"/>
    <w:rsid w:val="207D1A03"/>
    <w:rsid w:val="208A49B9"/>
    <w:rsid w:val="20F15AC5"/>
    <w:rsid w:val="21983295"/>
    <w:rsid w:val="21A00D01"/>
    <w:rsid w:val="22E5250A"/>
    <w:rsid w:val="23771663"/>
    <w:rsid w:val="239E3E69"/>
    <w:rsid w:val="23F46EA8"/>
    <w:rsid w:val="247831E6"/>
    <w:rsid w:val="252F5CBE"/>
    <w:rsid w:val="256F283D"/>
    <w:rsid w:val="258A1977"/>
    <w:rsid w:val="25A03B48"/>
    <w:rsid w:val="25D338CD"/>
    <w:rsid w:val="26465715"/>
    <w:rsid w:val="265359DC"/>
    <w:rsid w:val="267F1935"/>
    <w:rsid w:val="270311B0"/>
    <w:rsid w:val="27E539CE"/>
    <w:rsid w:val="284D302B"/>
    <w:rsid w:val="291A2B97"/>
    <w:rsid w:val="29FD638B"/>
    <w:rsid w:val="2A2878AC"/>
    <w:rsid w:val="2A481CFC"/>
    <w:rsid w:val="2B1A4D1A"/>
    <w:rsid w:val="2B560404"/>
    <w:rsid w:val="2BBA09D7"/>
    <w:rsid w:val="2C1D7537"/>
    <w:rsid w:val="2CB573F1"/>
    <w:rsid w:val="2CDF621C"/>
    <w:rsid w:val="2D9A5385"/>
    <w:rsid w:val="2E2A248E"/>
    <w:rsid w:val="2E7F357E"/>
    <w:rsid w:val="2E8B0409"/>
    <w:rsid w:val="2ED22DB5"/>
    <w:rsid w:val="2ED40002"/>
    <w:rsid w:val="2F1977C2"/>
    <w:rsid w:val="2F5618ED"/>
    <w:rsid w:val="2FAF0127"/>
    <w:rsid w:val="2FF67B04"/>
    <w:rsid w:val="301B3A0F"/>
    <w:rsid w:val="30302A3D"/>
    <w:rsid w:val="310D0090"/>
    <w:rsid w:val="31327262"/>
    <w:rsid w:val="32476D3D"/>
    <w:rsid w:val="32513718"/>
    <w:rsid w:val="327613D0"/>
    <w:rsid w:val="32821B23"/>
    <w:rsid w:val="32EC1CEB"/>
    <w:rsid w:val="32F66DD2"/>
    <w:rsid w:val="334B0167"/>
    <w:rsid w:val="33727DEA"/>
    <w:rsid w:val="33AE7CB3"/>
    <w:rsid w:val="33C1667B"/>
    <w:rsid w:val="341D7D55"/>
    <w:rsid w:val="3431735D"/>
    <w:rsid w:val="3550415A"/>
    <w:rsid w:val="35777A1C"/>
    <w:rsid w:val="35CB1A33"/>
    <w:rsid w:val="35E46651"/>
    <w:rsid w:val="36806379"/>
    <w:rsid w:val="36C95A92"/>
    <w:rsid w:val="371116C7"/>
    <w:rsid w:val="38496834"/>
    <w:rsid w:val="388A27A3"/>
    <w:rsid w:val="393B2A2C"/>
    <w:rsid w:val="3942590E"/>
    <w:rsid w:val="3AA840F1"/>
    <w:rsid w:val="3B3C308E"/>
    <w:rsid w:val="3C2B4FD9"/>
    <w:rsid w:val="3C9B215F"/>
    <w:rsid w:val="3CB66F99"/>
    <w:rsid w:val="3CD70CBD"/>
    <w:rsid w:val="3D7931C7"/>
    <w:rsid w:val="3DE42CA6"/>
    <w:rsid w:val="3E2E7003"/>
    <w:rsid w:val="3E7B35D7"/>
    <w:rsid w:val="3E8409D1"/>
    <w:rsid w:val="3EA250D8"/>
    <w:rsid w:val="3EC139D3"/>
    <w:rsid w:val="3ED454B4"/>
    <w:rsid w:val="3EF142B8"/>
    <w:rsid w:val="3F0E5CC3"/>
    <w:rsid w:val="3F6C393F"/>
    <w:rsid w:val="3F807045"/>
    <w:rsid w:val="3FA70E1B"/>
    <w:rsid w:val="400C112B"/>
    <w:rsid w:val="40284A6F"/>
    <w:rsid w:val="40381A73"/>
    <w:rsid w:val="40782BD2"/>
    <w:rsid w:val="40814025"/>
    <w:rsid w:val="40B777C4"/>
    <w:rsid w:val="41171E97"/>
    <w:rsid w:val="41BA336F"/>
    <w:rsid w:val="41EA1493"/>
    <w:rsid w:val="430F11B1"/>
    <w:rsid w:val="432E2951"/>
    <w:rsid w:val="43BF5D69"/>
    <w:rsid w:val="43D77EA0"/>
    <w:rsid w:val="443B72E2"/>
    <w:rsid w:val="44E7619A"/>
    <w:rsid w:val="44ED717F"/>
    <w:rsid w:val="457F3508"/>
    <w:rsid w:val="45AC0F39"/>
    <w:rsid w:val="45CC5137"/>
    <w:rsid w:val="45D21463"/>
    <w:rsid w:val="465667F3"/>
    <w:rsid w:val="46B81B60"/>
    <w:rsid w:val="47130752"/>
    <w:rsid w:val="47431429"/>
    <w:rsid w:val="47BA5463"/>
    <w:rsid w:val="481B0EB6"/>
    <w:rsid w:val="48531B40"/>
    <w:rsid w:val="48F61F0B"/>
    <w:rsid w:val="49125E6F"/>
    <w:rsid w:val="49311755"/>
    <w:rsid w:val="4950607F"/>
    <w:rsid w:val="49543DC1"/>
    <w:rsid w:val="49583186"/>
    <w:rsid w:val="499046CE"/>
    <w:rsid w:val="49EE4265"/>
    <w:rsid w:val="49F266E1"/>
    <w:rsid w:val="4A361719"/>
    <w:rsid w:val="4AB94687"/>
    <w:rsid w:val="4C0575F5"/>
    <w:rsid w:val="4C166E79"/>
    <w:rsid w:val="4C3A5379"/>
    <w:rsid w:val="4D2822F7"/>
    <w:rsid w:val="4D396031"/>
    <w:rsid w:val="4D3C7046"/>
    <w:rsid w:val="4D511713"/>
    <w:rsid w:val="4D8F00E9"/>
    <w:rsid w:val="4DAD0C4C"/>
    <w:rsid w:val="4DBF0BBB"/>
    <w:rsid w:val="4DC527CE"/>
    <w:rsid w:val="4DD30CB1"/>
    <w:rsid w:val="4DDC3894"/>
    <w:rsid w:val="4DE2784F"/>
    <w:rsid w:val="4E683E6B"/>
    <w:rsid w:val="4ED161C7"/>
    <w:rsid w:val="4EF744A2"/>
    <w:rsid w:val="4F5C097D"/>
    <w:rsid w:val="4FF84D7B"/>
    <w:rsid w:val="50303AD5"/>
    <w:rsid w:val="50D37CC2"/>
    <w:rsid w:val="50DD28EE"/>
    <w:rsid w:val="50F33EC0"/>
    <w:rsid w:val="5202272D"/>
    <w:rsid w:val="523C53F3"/>
    <w:rsid w:val="52674F44"/>
    <w:rsid w:val="52954022"/>
    <w:rsid w:val="52B61649"/>
    <w:rsid w:val="53650BBA"/>
    <w:rsid w:val="537A08C9"/>
    <w:rsid w:val="53DC50DF"/>
    <w:rsid w:val="54546513"/>
    <w:rsid w:val="54D45DB6"/>
    <w:rsid w:val="555706CE"/>
    <w:rsid w:val="562E14F6"/>
    <w:rsid w:val="5737087F"/>
    <w:rsid w:val="573A5A2F"/>
    <w:rsid w:val="57DB3900"/>
    <w:rsid w:val="58132F58"/>
    <w:rsid w:val="583B614D"/>
    <w:rsid w:val="589F0489"/>
    <w:rsid w:val="595C45CC"/>
    <w:rsid w:val="59D371FC"/>
    <w:rsid w:val="5A250E62"/>
    <w:rsid w:val="5A4532B2"/>
    <w:rsid w:val="5A490FF5"/>
    <w:rsid w:val="5B3860B7"/>
    <w:rsid w:val="5B3C70FF"/>
    <w:rsid w:val="5BE561FC"/>
    <w:rsid w:val="5C166CB5"/>
    <w:rsid w:val="5CB50D51"/>
    <w:rsid w:val="5CCB7A9F"/>
    <w:rsid w:val="5D0A26EE"/>
    <w:rsid w:val="5D3F223B"/>
    <w:rsid w:val="5D48404F"/>
    <w:rsid w:val="5D7874FB"/>
    <w:rsid w:val="5E5E77BF"/>
    <w:rsid w:val="5EDB550A"/>
    <w:rsid w:val="5FAF0602"/>
    <w:rsid w:val="5FCF0CE3"/>
    <w:rsid w:val="601520E1"/>
    <w:rsid w:val="601F7C76"/>
    <w:rsid w:val="604961CD"/>
    <w:rsid w:val="608D1349"/>
    <w:rsid w:val="60DA4B7E"/>
    <w:rsid w:val="613A1697"/>
    <w:rsid w:val="613F280A"/>
    <w:rsid w:val="61477910"/>
    <w:rsid w:val="617D1420"/>
    <w:rsid w:val="61D820E5"/>
    <w:rsid w:val="61DA30DE"/>
    <w:rsid w:val="61F5114D"/>
    <w:rsid w:val="62917095"/>
    <w:rsid w:val="636D7690"/>
    <w:rsid w:val="63C62886"/>
    <w:rsid w:val="64562D15"/>
    <w:rsid w:val="65827169"/>
    <w:rsid w:val="6594765E"/>
    <w:rsid w:val="65D8147F"/>
    <w:rsid w:val="65EE47FE"/>
    <w:rsid w:val="661A6479"/>
    <w:rsid w:val="66776CC5"/>
    <w:rsid w:val="667D3947"/>
    <w:rsid w:val="67033DCF"/>
    <w:rsid w:val="674212A6"/>
    <w:rsid w:val="67C12BDA"/>
    <w:rsid w:val="67E93436"/>
    <w:rsid w:val="67FC10C2"/>
    <w:rsid w:val="68510695"/>
    <w:rsid w:val="686A31D6"/>
    <w:rsid w:val="68A757B9"/>
    <w:rsid w:val="68B764C1"/>
    <w:rsid w:val="68BC0BE4"/>
    <w:rsid w:val="69DF126E"/>
    <w:rsid w:val="6A45564A"/>
    <w:rsid w:val="6A5F5CCB"/>
    <w:rsid w:val="6B51509C"/>
    <w:rsid w:val="6BBB1626"/>
    <w:rsid w:val="6BBD5B1A"/>
    <w:rsid w:val="6C221AF9"/>
    <w:rsid w:val="6C705F6D"/>
    <w:rsid w:val="6D0A76E7"/>
    <w:rsid w:val="6D0D708D"/>
    <w:rsid w:val="6D0D7C60"/>
    <w:rsid w:val="6D7F570E"/>
    <w:rsid w:val="6DCA53F6"/>
    <w:rsid w:val="6DCE3893"/>
    <w:rsid w:val="6E313E22"/>
    <w:rsid w:val="6E5D69C5"/>
    <w:rsid w:val="6E7D0905"/>
    <w:rsid w:val="6EAC36D2"/>
    <w:rsid w:val="6F747754"/>
    <w:rsid w:val="6F960C48"/>
    <w:rsid w:val="6F983B5E"/>
    <w:rsid w:val="6FA32AFD"/>
    <w:rsid w:val="70223A22"/>
    <w:rsid w:val="70383246"/>
    <w:rsid w:val="703F45D4"/>
    <w:rsid w:val="713A2FED"/>
    <w:rsid w:val="713B2937"/>
    <w:rsid w:val="717007BD"/>
    <w:rsid w:val="73104006"/>
    <w:rsid w:val="73AA523F"/>
    <w:rsid w:val="73D17C39"/>
    <w:rsid w:val="744F5002"/>
    <w:rsid w:val="749F7D37"/>
    <w:rsid w:val="7544443B"/>
    <w:rsid w:val="754B576F"/>
    <w:rsid w:val="757C0D42"/>
    <w:rsid w:val="760D2A7F"/>
    <w:rsid w:val="764870E9"/>
    <w:rsid w:val="76B86E8E"/>
    <w:rsid w:val="778D20C9"/>
    <w:rsid w:val="77B442FB"/>
    <w:rsid w:val="77E92821"/>
    <w:rsid w:val="77EF6D3C"/>
    <w:rsid w:val="77F31642"/>
    <w:rsid w:val="77FF289B"/>
    <w:rsid w:val="7898704D"/>
    <w:rsid w:val="78A468E8"/>
    <w:rsid w:val="79702382"/>
    <w:rsid w:val="797A3A3B"/>
    <w:rsid w:val="7A587B32"/>
    <w:rsid w:val="7A700402"/>
    <w:rsid w:val="7B2348E8"/>
    <w:rsid w:val="7B62561B"/>
    <w:rsid w:val="7BBA5457"/>
    <w:rsid w:val="7C407D3A"/>
    <w:rsid w:val="7C484810"/>
    <w:rsid w:val="7C8810B1"/>
    <w:rsid w:val="7CAD01E0"/>
    <w:rsid w:val="7CE02C9B"/>
    <w:rsid w:val="7CED21F4"/>
    <w:rsid w:val="7DA261A2"/>
    <w:rsid w:val="7E0155BF"/>
    <w:rsid w:val="7E081927"/>
    <w:rsid w:val="7E105802"/>
    <w:rsid w:val="7E9B6197"/>
    <w:rsid w:val="7EE271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autoRedefine/>
    <w:qFormat/>
    <w:uiPriority w:val="0"/>
    <w:pPr>
      <w:keepNext/>
      <w:keepLines/>
      <w:tabs>
        <w:tab w:val="left" w:pos="720"/>
      </w:tabs>
      <w:autoSpaceDE w:val="0"/>
      <w:autoSpaceDN w:val="0"/>
      <w:adjustRightInd w:val="0"/>
      <w:snapToGrid w:val="0"/>
      <w:spacing w:before="260" w:after="260" w:line="410" w:lineRule="auto"/>
      <w:ind w:left="720" w:hanging="720"/>
      <w:outlineLvl w:val="2"/>
    </w:pPr>
    <w:rPr>
      <w:rFonts w:ascii="宋体"/>
      <w:b/>
      <w:color w:val="000000"/>
      <w:sz w:val="32"/>
      <w:szCs w:val="20"/>
    </w:rPr>
  </w:style>
  <w:style w:type="paragraph" w:styleId="2">
    <w:name w:val="heading 4"/>
    <w:basedOn w:val="1"/>
    <w:next w:val="1"/>
    <w:autoRedefine/>
    <w:qFormat/>
    <w:uiPriority w:val="0"/>
    <w:pPr>
      <w:keepNext/>
      <w:keepLines/>
      <w:spacing w:before="280" w:after="290" w:line="372" w:lineRule="auto"/>
      <w:outlineLvl w:val="3"/>
    </w:pPr>
    <w:rPr>
      <w:rFonts w:ascii="Arial" w:hAnsi="Arial" w:eastAsia="黑体"/>
      <w:b/>
      <w:bCs/>
      <w:sz w:val="28"/>
      <w:szCs w:val="28"/>
    </w:rPr>
  </w:style>
  <w:style w:type="character" w:default="1" w:styleId="19">
    <w:name w:val="Default Paragraph Font"/>
    <w:autoRedefine/>
    <w:semiHidden/>
    <w:qFormat/>
    <w:uiPriority w:val="0"/>
  </w:style>
  <w:style w:type="table" w:default="1" w:styleId="17">
    <w:name w:val="Normal Table"/>
    <w:autoRedefine/>
    <w:semiHidden/>
    <w:qFormat/>
    <w:uiPriority w:val="0"/>
    <w:tblPr>
      <w:tblCellMar>
        <w:top w:w="0" w:type="dxa"/>
        <w:left w:w="108" w:type="dxa"/>
        <w:bottom w:w="0" w:type="dxa"/>
        <w:right w:w="108" w:type="dxa"/>
      </w:tblCellMar>
    </w:tblPr>
  </w:style>
  <w:style w:type="paragraph" w:styleId="5">
    <w:name w:val="Normal Indent"/>
    <w:basedOn w:val="1"/>
    <w:next w:val="1"/>
    <w:autoRedefine/>
    <w:qFormat/>
    <w:uiPriority w:val="0"/>
    <w:pPr>
      <w:ind w:firstLine="200" w:firstLineChars="200"/>
    </w:pPr>
    <w:rPr>
      <w:kern w:val="0"/>
      <w:sz w:val="20"/>
    </w:rPr>
  </w:style>
  <w:style w:type="paragraph" w:styleId="6">
    <w:name w:val="toa heading"/>
    <w:basedOn w:val="1"/>
    <w:next w:val="1"/>
    <w:qFormat/>
    <w:uiPriority w:val="0"/>
    <w:pPr>
      <w:spacing w:before="120" w:beforeLines="0" w:beforeAutospacing="0"/>
    </w:pPr>
    <w:rPr>
      <w:rFonts w:ascii="Arial" w:hAnsi="Arial"/>
      <w:sz w:val="24"/>
    </w:rPr>
  </w:style>
  <w:style w:type="paragraph" w:styleId="7">
    <w:name w:val="Body Text"/>
    <w:basedOn w:val="1"/>
    <w:next w:val="1"/>
    <w:autoRedefine/>
    <w:qFormat/>
    <w:uiPriority w:val="0"/>
    <w:pPr>
      <w:jc w:val="center"/>
    </w:pPr>
    <w:rPr>
      <w:rFonts w:eastAsia="仿宋_GB2312"/>
      <w:sz w:val="28"/>
    </w:rPr>
  </w:style>
  <w:style w:type="paragraph" w:styleId="8">
    <w:name w:val="List Bullet 2"/>
    <w:basedOn w:val="1"/>
    <w:qFormat/>
    <w:uiPriority w:val="0"/>
    <w:pPr>
      <w:numPr>
        <w:ilvl w:val="0"/>
        <w:numId w:val="1"/>
      </w:numPr>
    </w:pPr>
  </w:style>
  <w:style w:type="paragraph" w:styleId="9">
    <w:name w:val="Plain Text"/>
    <w:basedOn w:val="1"/>
    <w:autoRedefine/>
    <w:qFormat/>
    <w:uiPriority w:val="0"/>
    <w:rPr>
      <w:rFonts w:ascii="宋体"/>
      <w:szCs w:val="20"/>
    </w:rPr>
  </w:style>
  <w:style w:type="paragraph" w:styleId="10">
    <w:name w:val="Body Text Indent 2"/>
    <w:basedOn w:val="1"/>
    <w:autoRedefine/>
    <w:qFormat/>
    <w:uiPriority w:val="0"/>
    <w:pPr>
      <w:tabs>
        <w:tab w:val="left" w:pos="9741"/>
      </w:tabs>
      <w:ind w:right="-1" w:rightChars="-1" w:firstLine="540"/>
    </w:pPr>
    <w:rPr>
      <w:rFonts w:eastAsia="仿宋_GB2312"/>
      <w:sz w:val="28"/>
    </w:rPr>
  </w:style>
  <w:style w:type="paragraph" w:styleId="11">
    <w:name w:val="footer"/>
    <w:basedOn w:val="1"/>
    <w:autoRedefine/>
    <w:qFormat/>
    <w:uiPriority w:val="0"/>
    <w:pPr>
      <w:tabs>
        <w:tab w:val="center" w:pos="4153"/>
        <w:tab w:val="right" w:pos="8306"/>
      </w:tabs>
      <w:snapToGrid w:val="0"/>
      <w:jc w:val="left"/>
    </w:pPr>
    <w:rPr>
      <w:rFonts w:ascii="Verdana" w:hAnsi="Verdana"/>
      <w:sz w:val="18"/>
      <w:szCs w:val="18"/>
    </w:rPr>
  </w:style>
  <w:style w:type="paragraph" w:styleId="12">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toc 1"/>
    <w:basedOn w:val="1"/>
    <w:next w:val="1"/>
    <w:unhideWhenUsed/>
    <w:qFormat/>
    <w:uiPriority w:val="39"/>
    <w:pPr>
      <w:spacing w:after="57"/>
      <w:ind w:left="0" w:right="0" w:firstLine="0"/>
    </w:pPr>
  </w:style>
  <w:style w:type="paragraph" w:styleId="14">
    <w:name w:val="toc 6"/>
    <w:basedOn w:val="1"/>
    <w:next w:val="1"/>
    <w:autoRedefine/>
    <w:qFormat/>
    <w:uiPriority w:val="0"/>
    <w:pPr>
      <w:ind w:left="1050"/>
      <w:jc w:val="left"/>
    </w:pPr>
    <w:rPr>
      <w:sz w:val="18"/>
      <w:szCs w:val="18"/>
    </w:rPr>
  </w:style>
  <w:style w:type="paragraph" w:styleId="15">
    <w:name w:val="toc 2"/>
    <w:basedOn w:val="1"/>
    <w:next w:val="1"/>
    <w:autoRedefine/>
    <w:unhideWhenUsed/>
    <w:qFormat/>
    <w:uiPriority w:val="0"/>
    <w:pPr>
      <w:spacing w:after="57"/>
      <w:ind w:left="283"/>
    </w:pPr>
  </w:style>
  <w:style w:type="paragraph" w:styleId="16">
    <w:name w:val="Normal (Web)"/>
    <w:basedOn w:val="1"/>
    <w:autoRedefine/>
    <w:qFormat/>
    <w:uiPriority w:val="0"/>
    <w:pPr>
      <w:spacing w:before="0" w:beforeAutospacing="1" w:after="0" w:afterAutospacing="1"/>
      <w:ind w:left="0" w:right="0"/>
      <w:jc w:val="left"/>
    </w:pPr>
    <w:rPr>
      <w:kern w:val="0"/>
      <w:sz w:val="24"/>
      <w:lang w:val="en-US" w:eastAsia="zh-CN" w:bidi="ar"/>
    </w:rPr>
  </w:style>
  <w:style w:type="table" w:styleId="18">
    <w:name w:val="Table Grid"/>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0">
    <w:name w:val="Strong"/>
    <w:basedOn w:val="19"/>
    <w:autoRedefine/>
    <w:qFormat/>
    <w:uiPriority w:val="0"/>
    <w:rPr>
      <w:b/>
    </w:rPr>
  </w:style>
  <w:style w:type="paragraph" w:customStyle="1" w:styleId="21">
    <w:name w:val="信息标题1"/>
    <w:basedOn w:val="1"/>
    <w:next w:val="1"/>
    <w:autoRedefine/>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eastAsia="宋体" w:cs="Arial"/>
      <w:sz w:val="21"/>
      <w:szCs w:val="24"/>
      <w:lang w:val="en-US" w:eastAsia="zh-CN" w:bidi="ar-SA"/>
    </w:rPr>
  </w:style>
  <w:style w:type="paragraph" w:customStyle="1" w:styleId="22">
    <w:name w:val="段"/>
    <w:basedOn w:val="23"/>
    <w:next w:val="1"/>
    <w:autoRedefine/>
    <w:qFormat/>
    <w:uiPriority w:val="0"/>
    <w:pPr>
      <w:ind w:firstLine="200"/>
      <w:jc w:val="both"/>
    </w:pPr>
    <w:rPr>
      <w:rFonts w:hint="default" w:ascii="宋体" w:hAnsi="Times New Roman" w:eastAsia="宋体" w:cs="Times New Roman"/>
      <w:sz w:val="21"/>
      <w:szCs w:val="22"/>
    </w:rPr>
  </w:style>
  <w:style w:type="paragraph" w:customStyle="1" w:styleId="23">
    <w:name w:val="正文13"/>
    <w:next w:val="24"/>
    <w:autoRedefine/>
    <w:qFormat/>
    <w:uiPriority w:val="99"/>
    <w:pPr>
      <w:widowControl w:val="0"/>
      <w:jc w:val="both"/>
    </w:pPr>
    <w:rPr>
      <w:rFonts w:ascii="Times New Roman" w:hAnsi="Times New Roman" w:eastAsia="宋体" w:cs="Times New Roman"/>
      <w:sz w:val="21"/>
      <w:szCs w:val="24"/>
      <w:lang w:val="en-US" w:eastAsia="zh-CN" w:bidi="ar-SA"/>
    </w:rPr>
  </w:style>
  <w:style w:type="paragraph" w:customStyle="1" w:styleId="24">
    <w:name w:val="正文首行缩进1"/>
    <w:basedOn w:val="25"/>
    <w:next w:val="28"/>
    <w:autoRedefine/>
    <w:qFormat/>
    <w:uiPriority w:val="0"/>
    <w:pPr>
      <w:tabs>
        <w:tab w:val="left" w:pos="2020"/>
        <w:tab w:val="center" w:pos="4535"/>
      </w:tabs>
      <w:spacing w:after="120"/>
      <w:ind w:firstLine="420"/>
    </w:pPr>
    <w:rPr>
      <w:sz w:val="21"/>
    </w:rPr>
  </w:style>
  <w:style w:type="paragraph" w:customStyle="1" w:styleId="25">
    <w:name w:val="正文文本1"/>
    <w:basedOn w:val="1"/>
    <w:next w:val="26"/>
    <w:autoRedefine/>
    <w:qFormat/>
    <w:uiPriority w:val="0"/>
    <w:pPr>
      <w:jc w:val="center"/>
    </w:pPr>
    <w:rPr>
      <w:rFonts w:eastAsia="仿宋_GB2312"/>
      <w:sz w:val="28"/>
    </w:rPr>
  </w:style>
  <w:style w:type="paragraph" w:customStyle="1" w:styleId="26">
    <w:name w:val="一级条标题"/>
    <w:basedOn w:val="27"/>
    <w:next w:val="22"/>
    <w:autoRedefine/>
    <w:qFormat/>
    <w:uiPriority w:val="99"/>
    <w:pPr>
      <w:tabs>
        <w:tab w:val="left" w:pos="810"/>
        <w:tab w:val="left" w:pos="907"/>
        <w:tab w:val="left" w:pos="1265"/>
      </w:tabs>
      <w:spacing w:before="0" w:after="0"/>
      <w:ind w:left="907" w:hanging="907"/>
      <w:outlineLvl w:val="2"/>
    </w:pPr>
    <w:rPr>
      <w:rFonts w:hAnsi="宋体"/>
      <w:sz w:val="20"/>
      <w:szCs w:val="20"/>
    </w:rPr>
  </w:style>
  <w:style w:type="paragraph" w:customStyle="1" w:styleId="27">
    <w:name w:val="章标题"/>
    <w:basedOn w:val="1"/>
    <w:next w:val="1"/>
    <w:autoRedefine/>
    <w:qFormat/>
    <w:uiPriority w:val="99"/>
    <w:pPr>
      <w:widowControl/>
      <w:spacing w:before="158" w:after="153" w:line="1292" w:lineRule="atLeast"/>
      <w:jc w:val="center"/>
    </w:pPr>
    <w:rPr>
      <w:rFonts w:ascii="Arial" w:eastAsia="黑体" w:cs="黑体"/>
      <w:sz w:val="31"/>
      <w:szCs w:val="22"/>
      <w:lang w:eastAsia="en-US"/>
    </w:rPr>
  </w:style>
  <w:style w:type="paragraph" w:customStyle="1" w:styleId="28">
    <w:name w:val="正文首行缩进 211"/>
    <w:basedOn w:val="29"/>
    <w:autoRedefine/>
    <w:qFormat/>
    <w:uiPriority w:val="99"/>
    <w:pPr>
      <w:ind w:firstLine="420"/>
    </w:pPr>
    <w:rPr>
      <w:sz w:val="24"/>
    </w:rPr>
  </w:style>
  <w:style w:type="paragraph" w:customStyle="1" w:styleId="29">
    <w:name w:val="正文文本缩进11"/>
    <w:basedOn w:val="30"/>
    <w:autoRedefine/>
    <w:qFormat/>
    <w:uiPriority w:val="99"/>
    <w:pPr>
      <w:ind w:firstLine="538"/>
    </w:pPr>
    <w:rPr>
      <w:sz w:val="28"/>
    </w:rPr>
  </w:style>
  <w:style w:type="paragraph" w:customStyle="1" w:styleId="30">
    <w:name w:val="正文112"/>
    <w:next w:val="24"/>
    <w:autoRedefine/>
    <w:qFormat/>
    <w:uiPriority w:val="99"/>
    <w:pPr>
      <w:widowControl w:val="0"/>
      <w:jc w:val="both"/>
    </w:pPr>
    <w:rPr>
      <w:rFonts w:ascii="Times New Roman" w:hAnsi="Times New Roman" w:eastAsia="宋体" w:cs="Times New Roman"/>
      <w:sz w:val="21"/>
      <w:szCs w:val="24"/>
      <w:lang w:val="en-US" w:eastAsia="zh-CN" w:bidi="ar-SA"/>
    </w:rPr>
  </w:style>
  <w:style w:type="paragraph" w:customStyle="1" w:styleId="31">
    <w:name w:val="[Normal]"/>
    <w:autoRedefine/>
    <w:qFormat/>
    <w:uiPriority w:val="0"/>
    <w:rPr>
      <w:rFonts w:ascii="方正仿宋简体" w:hAnsi="Times New Roman" w:eastAsia="方正仿宋简体" w:cs="Courier New"/>
      <w:sz w:val="24"/>
      <w:szCs w:val="22"/>
      <w:lang w:val="zh-CN" w:eastAsia="zh-CN" w:bidi="ar-SA"/>
    </w:rPr>
  </w:style>
  <w:style w:type="paragraph" w:customStyle="1" w:styleId="32">
    <w:name w:val="标题 21"/>
    <w:basedOn w:val="1"/>
    <w:next w:val="1"/>
    <w:autoRedefine/>
    <w:qFormat/>
    <w:uiPriority w:val="0"/>
    <w:pPr>
      <w:keepNext/>
      <w:keepLines/>
      <w:spacing w:before="260" w:after="260" w:line="413" w:lineRule="auto"/>
      <w:outlineLvl w:val="1"/>
    </w:pPr>
    <w:rPr>
      <w:rFonts w:ascii="Arial" w:hAnsi="Arial" w:eastAsia="黑体"/>
      <w:b/>
      <w:sz w:val="32"/>
      <w:szCs w:val="20"/>
    </w:rPr>
  </w:style>
  <w:style w:type="paragraph" w:customStyle="1" w:styleId="33">
    <w:name w:val="正文格式"/>
    <w:autoRedefine/>
    <w:qFormat/>
    <w:uiPriority w:val="0"/>
    <w:pPr>
      <w:spacing w:line="360" w:lineRule="auto"/>
      <w:ind w:firstLine="200" w:firstLineChars="200"/>
    </w:pPr>
    <w:rPr>
      <w:rFonts w:ascii="宋体" w:hAnsi="Times New Roman" w:eastAsia="宋体" w:cs="Times New Roman"/>
      <w:kern w:val="2"/>
      <w:sz w:val="28"/>
      <w:szCs w:val="22"/>
      <w:lang w:val="en-US" w:eastAsia="zh-CN" w:bidi="ar-SA"/>
    </w:rPr>
  </w:style>
  <w:style w:type="paragraph" w:customStyle="1" w:styleId="34">
    <w:name w:val="Table Text"/>
    <w:basedOn w:val="1"/>
    <w:autoRedefine/>
    <w:semiHidden/>
    <w:qFormat/>
    <w:uiPriority w:val="0"/>
    <w:rPr>
      <w:rFonts w:ascii="宋体" w:hAnsi="宋体" w:eastAsia="宋体" w:cs="宋体"/>
      <w:sz w:val="24"/>
      <w:szCs w:val="24"/>
      <w:lang w:val="en-US" w:eastAsia="en-US" w:bidi="ar-SA"/>
    </w:rPr>
  </w:style>
  <w:style w:type="table" w:customStyle="1" w:styleId="35">
    <w:name w:val="Table Normal"/>
    <w:autoRedefine/>
    <w:unhideWhenUsed/>
    <w:qFormat/>
    <w:uiPriority w:val="0"/>
    <w:tblPr>
      <w:tblCellMar>
        <w:top w:w="0" w:type="dxa"/>
        <w:left w:w="0" w:type="dxa"/>
        <w:bottom w:w="0" w:type="dxa"/>
        <w:right w:w="0" w:type="dxa"/>
      </w:tblCellMar>
    </w:tblPr>
  </w:style>
  <w:style w:type="paragraph" w:customStyle="1" w:styleId="36">
    <w:name w:val="正文_0"/>
    <w:basedOn w:val="1"/>
    <w:autoRedefine/>
    <w:qFormat/>
    <w:uiPriority w:val="0"/>
    <w:rPr>
      <w:rFonts w:ascii="Times New Roman" w:hAnsi="Times New Roman" w:eastAsia="宋体" w:cs="Times New Roman"/>
    </w:rPr>
  </w:style>
  <w:style w:type="paragraph" w:customStyle="1" w:styleId="37">
    <w:name w:val="正文1"/>
    <w:basedOn w:val="38"/>
    <w:next w:val="1"/>
    <w:autoRedefine/>
    <w:qFormat/>
    <w:uiPriority w:val="0"/>
    <w:pPr>
      <w:tabs>
        <w:tab w:val="left" w:pos="1110"/>
      </w:tabs>
      <w:adjustRightInd w:val="0"/>
      <w:spacing w:before="120" w:after="120" w:line="180" w:lineRule="auto"/>
      <w:ind w:firstLine="200" w:firstLineChars="200"/>
      <w:contextualSpacing/>
    </w:pPr>
    <w:rPr>
      <w:rFonts w:ascii="Times New Roman" w:hAnsi="Times New Roman" w:eastAsia="Adobe 仿宋 Std R" w:cs="Times New Roman"/>
      <w:kern w:val="2"/>
      <w:sz w:val="21"/>
      <w:szCs w:val="21"/>
      <w:lang w:val="en-US" w:eastAsia="zh-CN" w:bidi="ar-SA"/>
    </w:rPr>
  </w:style>
  <w:style w:type="paragraph" w:customStyle="1" w:styleId="38">
    <w:name w:val="样式1"/>
    <w:basedOn w:val="1"/>
    <w:autoRedefine/>
    <w:qFormat/>
    <w:uiPriority w:val="0"/>
    <w:pPr>
      <w:tabs>
        <w:tab w:val="left" w:pos="1110"/>
      </w:tabs>
      <w:adjustRightInd w:val="0"/>
      <w:ind w:left="432" w:firstLine="288"/>
      <w:textAlignment w:val="baseline"/>
    </w:pPr>
    <w:rPr>
      <w:rFonts w:ascii="宋体" w:hAnsi="宋体"/>
      <w:kern w:val="0"/>
      <w:szCs w:val="21"/>
    </w:rPr>
  </w:style>
  <w:style w:type="paragraph" w:customStyle="1" w:styleId="39">
    <w:name w:val="List Paragraph"/>
    <w:basedOn w:val="1"/>
    <w:autoRedefine/>
    <w:qFormat/>
    <w:uiPriority w:val="0"/>
    <w:pPr>
      <w:ind w:firstLine="200" w:firstLineChars="200"/>
    </w:pPr>
    <w:rPr>
      <w:rFonts w:ascii="Calibri" w:hAnsi="Calibri"/>
      <w:szCs w:val="22"/>
    </w:rPr>
  </w:style>
  <w:style w:type="paragraph" w:customStyle="1" w:styleId="40">
    <w:name w:val="普通正文"/>
    <w:basedOn w:val="1"/>
    <w:autoRedefine/>
    <w:qFormat/>
    <w:uiPriority w:val="0"/>
    <w:pPr>
      <w:adjustRightInd w:val="0"/>
      <w:spacing w:before="120" w:after="120" w:line="360" w:lineRule="auto"/>
      <w:ind w:firstLine="480"/>
      <w:jc w:val="left"/>
    </w:pPr>
    <w:rPr>
      <w:rFonts w:ascii="Arial" w:hAnsi="Arial"/>
      <w:kern w:val="0"/>
      <w:sz w:val="24"/>
    </w:rPr>
  </w:style>
  <w:style w:type="paragraph" w:customStyle="1" w:styleId="41">
    <w:name w:val="批注文字1"/>
    <w:basedOn w:val="1"/>
    <w:qFormat/>
    <w:uiPriority w:val="0"/>
    <w:pPr>
      <w:jc w:val="left"/>
    </w:pPr>
  </w:style>
  <w:style w:type="paragraph" w:customStyle="1" w:styleId="42">
    <w:name w:val="正文首行缩进 21"/>
    <w:basedOn w:val="43"/>
    <w:qFormat/>
    <w:uiPriority w:val="0"/>
    <w:pPr>
      <w:ind w:firstLine="420"/>
    </w:pPr>
  </w:style>
  <w:style w:type="paragraph" w:customStyle="1" w:styleId="43">
    <w:name w:val="正文文本缩进1"/>
    <w:basedOn w:val="1"/>
    <w:qFormat/>
    <w:uiPriority w:val="0"/>
    <w:pPr>
      <w:spacing w:after="120"/>
      <w:ind w:left="420"/>
    </w:pPr>
  </w:style>
  <w:style w:type="character" w:customStyle="1" w:styleId="44">
    <w:name w:val="超链接1"/>
    <w:link w:val="1"/>
    <w:qFormat/>
    <w:uiPriority w:val="0"/>
    <w:rPr>
      <w:rFonts w:ascii="Times New Roman" w:hAnsi="Times New Roman" w:eastAsia="宋体" w:cs="Times New Roman"/>
      <w:kern w:val="2"/>
      <w:sz w:val="21"/>
      <w:szCs w:val="24"/>
      <w:lang w:val="en-US" w:eastAsia="zh-CN" w:bidi="ar-SA"/>
    </w:rPr>
  </w:style>
  <w:style w:type="table" w:customStyle="1" w:styleId="45">
    <w:name w:val="网格型1"/>
    <w:basedOn w:val="46"/>
    <w:qFormat/>
    <w:uiPriority w:val="0"/>
    <w:pPr>
      <w:keepNext w:val="0"/>
      <w:keepLines w:val="0"/>
      <w:widowControl/>
      <w:suppressLineNumbers w:val="0"/>
      <w:spacing w:before="0" w:beforeAutospacing="0" w:after="0" w:afterAutospacing="0"/>
      <w:ind w:left="0" w:right="0"/>
    </w:pPr>
    <w:rPr>
      <w:rFonts w:ascii="Calibri" w:hAnsi="Calibri" w:cs="Calibri"/>
      <w:sz w:val="21"/>
      <w:szCs w:val="22"/>
    </w:rPr>
  </w:style>
  <w:style w:type="table" w:customStyle="1" w:styleId="46">
    <w:name w:val="普通表格1"/>
    <w:semiHidden/>
    <w:qFormat/>
    <w:uiPriority w:val="0"/>
  </w:style>
  <w:style w:type="character" w:customStyle="1" w:styleId="47">
    <w:name w:val="font21"/>
    <w:basedOn w:val="19"/>
    <w:qFormat/>
    <w:uiPriority w:val="0"/>
    <w:rPr>
      <w:rFonts w:hint="eastAsia" w:ascii="黑体" w:hAnsi="宋体" w:eastAsia="黑体" w:cs="黑体"/>
      <w:color w:val="000000"/>
      <w:sz w:val="21"/>
      <w:szCs w:val="21"/>
      <w:u w:val="none"/>
    </w:rPr>
  </w:style>
  <w:style w:type="character" w:customStyle="1" w:styleId="48">
    <w:name w:val="font71"/>
    <w:basedOn w:val="19"/>
    <w:qFormat/>
    <w:uiPriority w:val="0"/>
    <w:rPr>
      <w:rFonts w:hint="eastAsia" w:ascii="宋体" w:hAnsi="宋体" w:eastAsia="宋体" w:cs="宋体"/>
      <w:color w:val="000000"/>
      <w:sz w:val="21"/>
      <w:szCs w:val="21"/>
      <w:u w:val="none"/>
    </w:rPr>
  </w:style>
  <w:style w:type="character" w:customStyle="1" w:styleId="49">
    <w:name w:val="font81"/>
    <w:basedOn w:val="19"/>
    <w:qFormat/>
    <w:uiPriority w:val="0"/>
    <w:rPr>
      <w:rFonts w:hint="eastAsia" w:ascii="黑体" w:hAnsi="宋体" w:eastAsia="黑体" w:cs="黑体"/>
      <w:color w:val="FF6600"/>
      <w:sz w:val="21"/>
      <w:szCs w:val="21"/>
      <w:u w:val="none"/>
    </w:rPr>
  </w:style>
  <w:style w:type="character" w:customStyle="1" w:styleId="50">
    <w:name w:val="font01"/>
    <w:basedOn w:val="19"/>
    <w:qFormat/>
    <w:uiPriority w:val="0"/>
    <w:rPr>
      <w:rFonts w:hint="default" w:ascii="Arial" w:hAnsi="Arial" w:cs="Arial"/>
      <w:color w:val="000000"/>
      <w:sz w:val="20"/>
      <w:szCs w:val="20"/>
      <w:u w:val="none"/>
    </w:rPr>
  </w:style>
  <w:style w:type="character" w:customStyle="1" w:styleId="51">
    <w:name w:val="font51"/>
    <w:basedOn w:val="19"/>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d7ce9004-faf1-4b90-a159-80a94ca08014</errorID>
      <errorWord>：）</errorWord>
      <group>L1_Punc</group>
      <groupName>标点问题</groupName>
      <ability>L2_Punc</ability>
      <abilityName>标点符号检查</abilityName>
      <candidateList>
        <item>）</item>
      </candidateList>
      <explain/>
      <paraID>55B72F2A</paraID>
      <start>24</start>
      <end>25</end>
      <status>modified</status>
      <modifiedWord>）</modifiedWord>
      <trackRevisions>false</trackRevisions>
    </reviewItem>
    <reviewItem>
      <errorID>65a4aa22-9922-4f1b-b7c5-32c77fa6c986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471CA9C0</paraID>
      <start>185</start>
      <end>186</end>
      <status>ignored</status>
      <modifiedWord/>
      <trackRevisions>false</trackRevisions>
    </reviewItem>
    <reviewItem>
      <errorID>148bf711-2570-4634-b862-550fb50a8cbd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688C450B</paraID>
      <start>89</start>
      <end>90</end>
      <status>ignored</status>
      <modifiedWord/>
      <trackRevisions>false</trackRevisions>
    </reviewItem>
    <reviewItem>
      <errorID>6fdd20c0-2324-491b-8d6f-fa80d4a60df2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7ECC4220</paraID>
      <start>96</start>
      <end>97</end>
      <status>ignored</status>
      <modifiedWord/>
      <trackRevisions>false</trackRevisions>
    </reviewItem>
    <reviewItem>
      <errorID>32e146fb-6fe5-43b6-aeea-8bee4061fcda</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1996CAA5</paraID>
      <start>81</start>
      <end>82</end>
      <status>modified</status>
      <modifiedWord>且</modifiedWord>
      <trackRevisions>false</trackRevisions>
    </reviewItem>
    <reviewItem>
      <errorID>4a211f22-61f2-40cc-a727-6ab667648499</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2881706F</paraID>
      <start>33</start>
      <end>34</end>
      <status>ignored</status>
      <modifiedWord/>
      <trackRevisions>false</trackRevisions>
    </reviewItem>
    <reviewItem>
      <errorID>e3d30089-7c2b-405c-a654-4ab6cda8504f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549F36BD</paraID>
      <start>108</start>
      <end>109</end>
      <status>ignored</status>
      <modifiedWord/>
      <trackRevisions>false</trackRevisions>
    </reviewItem>
    <reviewItem>
      <errorID>58559911-3a93-4589-b1a7-57d3f6028183</errorID>
      <errorWord>(</errorWord>
      <group>L1_Format</group>
      <groupName>格式问题</groupName>
      <ability>L2_HalfPunc</ability>
      <abilityName>全半角检查</abilityName>
      <candidateList>
        <item>（</item>
      </candidateList>
      <explain>文本全半角错误。</explain>
      <paraID>2B49ACE0</paraID>
      <start>37</start>
      <end>38</end>
      <status>modified</status>
      <modifiedWord>（</modifiedWord>
      <trackRevisions>false</trackRevisions>
    </reviewItem>
    <reviewItem>
      <errorID>10c98daa-6589-48c2-8e0a-0f066d961b5f</errorID>
      <errorWord>)</errorWord>
      <group>L1_Format</group>
      <groupName>格式问题</groupName>
      <ability>L2_HalfPunc</ability>
      <abilityName>全半角检查</abilityName>
      <candidateList>
        <item>）</item>
      </candidateList>
      <explain>文本全半角错误。</explain>
      <paraID>2B49ACE0</paraID>
      <start>40</start>
      <end>41</end>
      <status>modified</status>
      <modifiedWord>）</modifiedWord>
      <trackRevisions>false</trackRevisions>
    </reviewItem>
    <reviewItem>
      <errorID>d7a9cdfb-90bd-47e5-b017-1f1f5fda128f</errorID>
      <errorWord>&lt;</errorWord>
      <group>L1_Format</group>
      <groupName>格式问题</groupName>
      <ability>L2_HalfPunc</ability>
      <abilityName>全半角检查</abilityName>
      <candidateList>
        <item>〈</item>
      </candidateList>
      <explain>文本全半角错误。</explain>
      <paraID>151B7721</paraID>
      <start>50</start>
      <end>51</end>
      <status>modified</status>
      <modifiedWord>〈</modifiedWord>
      <trackRevisions>false</trackRevisions>
    </reviewItem>
    <reviewItem>
      <errorID>a72c5df5-206f-43ed-9579-7691cdac281c</errorID>
      <errorWord>&lt;</errorWord>
      <group>L1_Format</group>
      <groupName>格式问题</groupName>
      <ability>L2_HalfPunc</ability>
      <abilityName>全半角检查</abilityName>
      <candidateList>
        <item>〈</item>
      </candidateList>
      <explain>文本全半角错误。</explain>
      <paraID>2ECE9EE6</paraID>
      <start>50</start>
      <end>51</end>
      <status>modified</status>
      <modifiedWord>〈</modifiedWord>
      <trackRevisions>false</trackRevisions>
    </reviewItem>
    <reviewItem>
      <errorID>a242014d-da99-4580-98da-20ed4b27dad4</errorID>
      <errorWord>&lt;</errorWord>
      <group>L1_Format</group>
      <groupName>格式问题</groupName>
      <ability>L2_HalfPunc</ability>
      <abilityName>全半角检查</abilityName>
      <candidateList>
        <item>〈</item>
      </candidateList>
      <explain>文本全半角错误。</explain>
      <paraID>64C99EA7</paraID>
      <start>35</start>
      <end>36</end>
      <status>modified</status>
      <modifiedWord>〈</modifiedWord>
      <trackRevisions>false</trackRevisions>
    </reviewItem>
    <reviewItem>
      <errorID>57c9bca5-69a9-41be-9273-dd32f649949c</errorID>
      <errorWord>(</errorWord>
      <group>L1_Format</group>
      <groupName>格式问题</groupName>
      <ability>L2_HalfPunc</ability>
      <abilityName>全半角检查</abilityName>
      <candidateList>
        <item>（</item>
      </candidateList>
      <explain>文本全半角错误。</explain>
      <paraID> 5F64131</paraID>
      <start>40</start>
      <end>41</end>
      <status>modified</status>
      <modifiedWord>（</modifiedWord>
      <trackRevisions>false</trackRevisions>
    </reviewItem>
    <reviewItem>
      <errorID>7d8ed4f8-50af-4d69-b535-68439cd2f7b5</errorID>
      <errorWord>)</errorWord>
      <group>L1_Format</group>
      <groupName>格式问题</groupName>
      <ability>L2_HalfPunc</ability>
      <abilityName>全半角检查</abilityName>
      <candidateList>
        <item>）</item>
      </candidateList>
      <explain>文本全半角错误。</explain>
      <paraID> 5F64131</paraID>
      <start>43</start>
      <end>44</end>
      <status>modified</status>
      <modifiedWord>）</modifiedWord>
      <trackRevisions>false</trackRevisions>
    </reviewItem>
    <reviewItem>
      <errorID>0b0510fe-b232-43df-b6db-8ade4ff7b6ad</errorID>
      <errorWord>(</errorWord>
      <group>L1_Format</group>
      <groupName>格式问题</groupName>
      <ability>L2_HalfPunc</ability>
      <abilityName>全半角检查</abilityName>
      <candidateList>
        <item>（</item>
      </candidateList>
      <explain>文本全半角错误。</explain>
      <paraID> D419D60</paraID>
      <start>12</start>
      <end>13</end>
      <status>modified</status>
      <modifiedWord>（</modifiedWord>
      <trackRevisions>false</trackRevisions>
    </reviewItem>
    <reviewItem>
      <errorID>3838c011-eda8-45f9-9b89-3e0f8f409c23</errorID>
      <errorWord>)</errorWord>
      <group>L1_Format</group>
      <groupName>格式问题</groupName>
      <ability>L2_HalfPunc</ability>
      <abilityName>全半角检查</abilityName>
      <candidateList>
        <item>）</item>
      </candidateList>
      <explain>文本全半角错误。</explain>
      <paraID> D419D60</paraID>
      <start>15</start>
      <end>16</end>
      <status>modified</status>
      <modifiedWord>）</modifiedWord>
      <trackRevisions>false</trackRevisions>
    </reviewItem>
    <reviewItem>
      <errorID>bbce44ba-9937-4df9-a9a3-a1b19a2ddc75</errorID>
      <errorWord>(</errorWord>
      <group>L1_Format</group>
      <groupName>格式问题</groupName>
      <ability>L2_HalfPunc</ability>
      <abilityName>全半角检查</abilityName>
      <candidateList>
        <item>（</item>
      </candidateList>
      <explain>文本全半角错误。</explain>
      <paraID> D419D60</paraID>
      <start>62</start>
      <end>63</end>
      <status>modified</status>
      <modifiedWord>（</modifiedWord>
      <trackRevisions>false</trackRevisions>
    </reviewItem>
    <reviewItem>
      <errorID>732b54cf-ccfa-4ed9-916f-49b095b5efaa</errorID>
      <errorWord>)</errorWord>
      <group>L1_Format</group>
      <groupName>格式问题</groupName>
      <ability>L2_HalfPunc</ability>
      <abilityName>全半角检查</abilityName>
      <candidateList>
        <item>）</item>
      </candidateList>
      <explain>文本全半角错误。</explain>
      <paraID> D419D60</paraID>
      <start>65</start>
      <end>66</end>
      <status>modified</status>
      <modifiedWord>）</modifiedWord>
      <trackRevisions>false</trackRevisions>
    </reviewItem>
    <reviewItem>
      <errorID>2872beed-b146-4bfd-9cbb-dfea33059a56</errorID>
      <errorWord>(</errorWord>
      <group>L1_Format</group>
      <groupName>格式问题</groupName>
      <ability>L2_HalfPunc</ability>
      <abilityName>全半角检查</abilityName>
      <candidateList>
        <item>（</item>
      </candidateList>
      <explain>文本全半角错误。</explain>
      <paraID> D419D60</paraID>
      <start>169</start>
      <end>170</end>
      <status>modified</status>
      <modifiedWord>（</modifiedWord>
      <trackRevisions>false</trackRevisions>
    </reviewItem>
    <reviewItem>
      <errorID>b259ae3b-a729-4fb7-b5cb-5b431f008830</errorID>
      <errorWord>)</errorWord>
      <group>L1_Format</group>
      <groupName>格式问题</groupName>
      <ability>L2_HalfPunc</ability>
      <abilityName>全半角检查</abilityName>
      <candidateList>
        <item>）</item>
      </candidateList>
      <explain>文本全半角错误。</explain>
      <paraID> D419D60</paraID>
      <start>172</start>
      <end>173</end>
      <status>modified</status>
      <modifiedWord>）</modifiedWord>
      <trackRevisions>false</trackRevisions>
    </reviewItem>
    <reviewItem>
      <errorID>d329584c-2504-4eab-9ea0-baf81394cc10</errorID>
      <errorWord>(</errorWord>
      <group>L1_Format</group>
      <groupName>格式问题</groupName>
      <ability>L2_HalfPunc</ability>
      <abilityName>全半角检查</abilityName>
      <candidateList>
        <item>（</item>
      </candidateList>
      <explain>文本全半角错误。</explain>
      <paraID>23BE125F</paraID>
      <start>27</start>
      <end>28</end>
      <status>modified</status>
      <modifiedWord>（</modifiedWord>
      <trackRevisions>false</trackRevisions>
    </reviewItem>
    <reviewItem>
      <errorID>dd3e170e-f99c-4713-a453-7ce348417dc6</errorID>
      <errorWord>)</errorWord>
      <group>L1_Format</group>
      <groupName>格式问题</groupName>
      <ability>L2_HalfPunc</ability>
      <abilityName>全半角检查</abilityName>
      <candidateList>
        <item>）</item>
      </candidateList>
      <explain>文本全半角错误。</explain>
      <paraID>23BE125F</paraID>
      <start>30</start>
      <end>31</end>
      <status>modified</status>
      <modifiedWord>）</modifiedWord>
      <trackRevisions>false</trackRevisions>
    </reviewItem>
    <reviewItem>
      <errorID>4aac599c-ae60-4ff3-8f20-6d74bf728875</errorID>
      <errorWord>(</errorWord>
      <group>L1_Format</group>
      <groupName>格式问题</groupName>
      <ability>L2_HalfPunc</ability>
      <abilityName>全半角检查</abilityName>
      <candidateList>
        <item>（</item>
      </candidateList>
      <explain>文本全半角错误。</explain>
      <paraID>23BE125F</paraID>
      <start>92</start>
      <end>93</end>
      <status>modified</status>
      <modifiedWord>（</modifiedWord>
      <trackRevisions>false</trackRevisions>
    </reviewItem>
    <reviewItem>
      <errorID>619b2d88-2191-4bae-a702-2d9ac4c4dd70</errorID>
      <errorWord>)</errorWord>
      <group>L1_Format</group>
      <groupName>格式问题</groupName>
      <ability>L2_HalfPunc</ability>
      <abilityName>全半角检查</abilityName>
      <candidateList>
        <item>）</item>
      </candidateList>
      <explain>文本全半角错误。</explain>
      <paraID>23BE125F</paraID>
      <start>95</start>
      <end>96</end>
      <status>modified</status>
      <modifiedWord>）</modifiedWord>
      <trackRevisions>false</trackRevisions>
    </reviewItem>
    <reviewItem>
      <errorID>966dcdf3-c009-4965-86b7-c577ead566a2</errorID>
      <errorWord>(</errorWord>
      <group>L1_Format</group>
      <groupName>格式问题</groupName>
      <ability>L2_HalfPunc</ability>
      <abilityName>全半角检查</abilityName>
      <candidateList>
        <item>（</item>
      </candidateList>
      <explain>文本全半角错误。</explain>
      <paraID>23BE125F</paraID>
      <start>153</start>
      <end>154</end>
      <status>modified</status>
      <modifiedWord>（</modifiedWord>
      <trackRevisions>false</trackRevisions>
    </reviewItem>
    <reviewItem>
      <errorID>038134b0-01a6-4f86-8ece-59e65eaab336</errorID>
      <errorWord>)</errorWord>
      <group>L1_Format</group>
      <groupName>格式问题</groupName>
      <ability>L2_HalfPunc</ability>
      <abilityName>全半角检查</abilityName>
      <candidateList>
        <item>）</item>
      </candidateList>
      <explain>文本全半角错误。</explain>
      <paraID>23BE125F</paraID>
      <start>156</start>
      <end>157</end>
      <status>modified</status>
      <modifiedWord>）</modifiedWord>
      <trackRevisions>false</trackRevisions>
    </reviewItem>
    <reviewItem>
      <errorID>7e12bc70-1ff3-4c73-a649-47d8516f5345</errorID>
      <errorWord>为成</errorWord>
      <group>L1_Word</group>
      <groupName>字词问题</groupName>
      <ability>L2_Typo</ability>
      <abilityName>字词错误</abilityName>
      <candidateList>
        <item>自成</item>
      </candidateList>
      <explain/>
      <paraID>2C0C145F</paraID>
      <start>14</start>
      <end>16</end>
      <status>ignored</status>
      <modifiedWord/>
      <trackRevisions>false</trackRevisions>
    </reviewItem>
    <reviewItem>
      <errorID>a21f31fd-044b-452c-8b85-6a2faf4facab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4690B286</paraID>
      <start>64</start>
      <end>65</end>
      <status>ignored</status>
      <modifiedWord/>
      <trackRevisions>false</trackRevisions>
    </reviewItem>
    <reviewItem>
      <errorID>02be462e-5add-419b-96ef-b66ea702551e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4C473928</paraID>
      <start>59</start>
      <end>60</end>
      <status>ignored</status>
      <modifiedWord/>
      <trackRevisions>false</trackRevisions>
    </reviewItem>
    <reviewItem>
      <errorID>efa0151e-d005-434b-90da-afbe0f45722c</errorID>
      <errorWord>:</errorWord>
      <group>L1_Format</group>
      <groupName>格式问题</groupName>
      <ability>L2_HalfPunc</ability>
      <abilityName>全半角检查</abilityName>
      <candidateList>
        <item>：</item>
      </candidateList>
      <explain>文本全半角错误。</explain>
      <paraID>51A853F6</paraID>
      <start>6</start>
      <end>7</end>
      <status>modified</status>
      <modifiedWord>：</modifiedWord>
      <trackRevisions>false</trackRevisions>
    </reviewItem>
    <reviewItem>
      <errorID>e255599c-7ba6-4bf6-98fe-1fe3f5e60037</errorID>
      <errorWord>(</errorWord>
      <group>L1_Format</group>
      <groupName>格式问题</groupName>
      <ability>L2_HalfPunc</ability>
      <abilityName>全半角检查</abilityName>
      <candidateList>
        <item>（</item>
      </candidateList>
      <explain>文本全半角错误。</explain>
      <paraID>34E62798</paraID>
      <start>12</start>
      <end>13</end>
      <status>modified</status>
      <modifiedWord>（</modifiedWord>
      <trackRevisions>false</trackRevisions>
    </reviewItem>
    <reviewItem>
      <errorID>9d50de53-fc2d-4b16-9dcd-2577a3525e4e</errorID>
      <errorWord>)</errorWord>
      <group>L1_Format</group>
      <groupName>格式问题</groupName>
      <ability>L2_HalfPunc</ability>
      <abilityName>全半角检查</abilityName>
      <candidateList>
        <item>）</item>
      </candidateList>
      <explain>文本全半角错误。</explain>
      <paraID>34E62798</paraID>
      <start>15</start>
      <end>16</end>
      <status>modified</status>
      <modifiedWord>）</modifiedWord>
      <trackRevisions>false</trackRevisions>
    </reviewItem>
    <reviewItem>
      <errorID>dedf2913-c44b-4720-8e2d-09add601f23b</errorID>
      <errorWord>(</errorWord>
      <group>L1_Format</group>
      <groupName>格式问题</groupName>
      <ability>L2_HalfPunc</ability>
      <abilityName>全半角检查</abilityName>
      <candidateList>
        <item>（</item>
      </candidateList>
      <explain>文本全半角错误。</explain>
      <paraID>67B66308</paraID>
      <start>5</start>
      <end>6</end>
      <status>modified</status>
      <modifiedWord>（</modifiedWord>
      <trackRevisions>false</trackRevisions>
    </reviewItem>
    <reviewItem>
      <errorID>17c1c41b-6dbc-48e1-90d5-37513f6840d8</errorID>
      <errorWord>)</errorWord>
      <group>L1_Format</group>
      <groupName>格式问题</groupName>
      <ability>L2_HalfPunc</ability>
      <abilityName>全半角检查</abilityName>
      <candidateList>
        <item>）</item>
      </candidateList>
      <explain>文本全半角错误。</explain>
      <paraID>67B66308</paraID>
      <start>7</start>
      <end>8</end>
      <status>modified</status>
      <modifiedWord>）</modifiedWord>
      <trackRevisions>false</trackRevisions>
    </reviewItem>
    <reviewItem>
      <errorID>e4bcd344-b0ee-4c61-bc1b-f653036fdb2a</errorID>
      <errorWord>合价</errorWord>
      <group>L1_Word</group>
      <groupName>字词问题</groupName>
      <ability>L2_Typo</ability>
      <abilityName>字词错误</abilityName>
      <candidateList>
        <item>评价</item>
      </candidateList>
      <explain/>
      <paraID> 2CFE9CD</paraID>
      <start>2</start>
      <end>4</end>
      <status>ignored</status>
      <modifiedWord/>
      <trackRevisions>false</trackRevisions>
    </reviewItem>
    <reviewItem>
      <errorID>375306d0-879a-4725-8689-0bd75e71cae1</errorID>
      <errorWord>《招投标法》</errorWord>
      <group>L1_Knowledge</group>
      <groupName>知识性问题</groupName>
      <ability>L2_Knowledge</ability>
      <abilityName>其他知识</abilityName>
      <candidateList>
        <item>《中华人民共和国招标投标法》</item>
      </candidateList>
      <explain/>
      <paraID>4848659B</paraID>
      <start>26</start>
      <end>32</end>
      <status>ignored</status>
      <modifiedWord/>
      <trackRevisions>false</trackRevisions>
    </reviewItem>
    <reviewItem>
      <errorID>012f2a63-acb2-4a96-bcc8-edcd35102247</errorID>
      <errorWord>：/；</errorWord>
      <group>L1_Punc</group>
      <groupName>标点问题</groupName>
      <ability>L2_Punc</ability>
      <abilityName>标点符号检查</abilityName>
      <candidateList>
        <item>：</item>
      </candidateList>
      <explain/>
      <paraID>55D40ADE</paraID>
      <start>21</start>
      <end>22</end>
      <status>modified</status>
      <modifiedWord>：</modifiedWord>
      <trackRevisions>false</trackRevisions>
    </reviewItem>
    <reviewItem>
      <errorID>33d8f363-0f68-4271-bc61-392dd7984551</errorID>
      <errorWord>：/；</errorWord>
      <group>L1_Punc</group>
      <groupName>标点问题</groupName>
      <ability>L2_Punc</ability>
      <abilityName>标点符号检查</abilityName>
      <candidateList>
        <item>：</item>
      </candidateList>
      <explain/>
      <paraID>4E3BB6DB</paraID>
      <start>15</start>
      <end>18</end>
      <status>ignored</status>
      <modifiedWord/>
      <trackRevisions>false</trackRevisions>
    </reviewItem>
    <reviewItem>
      <errorID>14688288-65c5-4701-a57f-8630d13458ed</errorID>
      <errorWord>：/。</errorWord>
      <group>L1_Punc</group>
      <groupName>标点问题</groupName>
      <ability>L2_Punc</ability>
      <abilityName>标点符号检查</abilityName>
      <candidateList>
        <item>：</item>
      </candidateList>
      <explain/>
      <paraID>2A426609</paraID>
      <start>15</start>
      <end>18</end>
      <status>ignored</status>
      <modifiedWord/>
      <trackRevisions>false</trackRevisions>
    </reviewItem>
    <reviewItem>
      <errorID>934ec45d-8539-4adb-8f5f-bc2d1d98220c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6CCD5708</paraID>
      <start>21</start>
      <end>22</end>
      <status>ignored</status>
      <modifiedWord/>
      <trackRevisions>false</trackRevisions>
    </reviewItem>
    <reviewItem>
      <errorID>cf4f9847-6e43-4bd0-b9f9-60123b0259f2</errorID>
      <errorWord>人</errorWord>
      <group>L1_Word</group>
      <groupName>字词问题</groupName>
      <ability>L2_Typo</ability>
      <abilityName>字词错误</abilityName>
      <candidateList>
        <item>人在</item>
      </candidateList>
      <explain/>
      <paraID>6FB8908A</paraID>
      <start>87</start>
      <end>89</end>
      <status>modified</status>
      <modifiedWord>人在</modifiedWord>
      <trackRevisions>false</trackRevisions>
    </reviewItem>
    <reviewItem>
      <errorID>bf7facd0-c5f1-4f43-bf1c-3126b134bad0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6BA93D02</paraID>
      <start>32</start>
      <end>33</end>
      <status>ignored</status>
      <modifiedWord/>
      <trackRevisions>false</trackRevisions>
    </reviewItem>
    <reviewItem>
      <errorID>7e5cc912-7082-46f5-804f-d0a9a1a84d34</errorID>
      <errorWord>：/。</errorWord>
      <group>L1_Punc</group>
      <groupName>标点问题</groupName>
      <ability>L2_Punc</ability>
      <abilityName>标点符号检查</abilityName>
      <candidateList>
        <item>：</item>
      </candidateList>
      <explain/>
      <paraID>1A246CD3</paraID>
      <start>12</start>
      <end>15</end>
      <status>ignored</status>
      <modifiedWord/>
      <trackRevisions>false</trackRevisions>
    </reviewItem>
    <reviewItem>
      <errorID>53d47752-3aa1-4f81-85b1-05c7751f03be</errorID>
      <errorWord>督查</errorWord>
      <group>L1_Word</group>
      <groupName>字词问题</groupName>
      <ability>L2_Typo</ability>
      <abilityName>字词错误</abilityName>
      <candidateList>
        <item>督促</item>
      </candidateList>
      <explain/>
      <paraID>406B1E85</paraID>
      <start>46</start>
      <end>48</end>
      <status>ignored</status>
      <modifiedWord/>
      <trackRevisions>false</trackRevisions>
    </reviewItem>
    <reviewItem>
      <errorID>7a8697fa-0dce-424d-86da-15aa92cb7b20</errorID>
      <errorWord>符</errorWord>
      <group>L1_Word</group>
      <groupName>字词问题</groupName>
      <ability>L2_Typo</ability>
      <abilityName>字词错误</abilityName>
      <candidateList>
        <item>符合</item>
      </candidateList>
      <explain>〈动〉（数量、形状、情节等）相合：～事实｜这些产品不～质量标准。</explain>
      <paraID>16111327</paraID>
      <start>94</start>
      <end>96</end>
      <status>modified</status>
      <modifiedWord>符合</modifiedWord>
      <trackRevisions>false</trackRevisions>
    </reviewItem>
    <reviewItem>
      <errorID>18a26854-6c2a-46db-acff-e791e3416228</errorID>
      <errorWord>：/。</errorWord>
      <group>L1_Punc</group>
      <groupName>标点问题</groupName>
      <ability>L2_Punc</ability>
      <abilityName>标点符号检查</abilityName>
      <candidateList>
        <item>：</item>
      </candidateList>
      <explain/>
      <paraID>66BA84AC</paraID>
      <start>11</start>
      <end>14</end>
      <status>ignored</status>
      <modifiedWord/>
      <trackRevisions>false</trackRevisions>
    </reviewItem>
    <reviewItem>
      <errorID>e2107730-0365-49de-9781-3b59ba443fa7</errorID>
      <errorWord>：/。</errorWord>
      <group>L1_Punc</group>
      <groupName>标点问题</groupName>
      <ability>L2_Punc</ability>
      <abilityName>标点符号检查</abilityName>
      <candidateList>
        <item>：</item>
      </candidateList>
      <explain/>
      <paraID> 8A7F4D5</paraID>
      <start>9</start>
      <end>12</end>
      <status>ignored</status>
      <modifiedWord/>
      <trackRevisions>false</trackRevisions>
    </reviewItem>
    <reviewItem>
      <errorID>a23af97a-e7b8-4611-bad5-3e38a456355e</errorID>
      <errorWord>：/。</errorWord>
      <group>L1_Punc</group>
      <groupName>标点问题</groupName>
      <ability>L2_Punc</ability>
      <abilityName>标点符号检查</abilityName>
      <candidateList>
        <item>：</item>
      </candidateList>
      <explain/>
      <paraID>5B60EEA5</paraID>
      <start>13</start>
      <end>16</end>
      <status>ignored</status>
      <modifiedWord/>
      <trackRevisions>false</trackRevisions>
    </reviewItem>
    <reviewItem>
      <errorID>f3c98444-4bce-4d04-8737-2698c4fd8a5e</errorID>
      <errorWord>形式的</errorWord>
      <group>L1_Word</group>
      <groupName>字词问题</groupName>
      <ability>L2_Typo</ability>
      <abilityName>字词错误</abilityName>
      <candidateList>
        <item>形式</item>
      </candidateList>
      <explain>〈名〉事物的形状、结构等：组织～｜艺术～｜内容和～的统一。</explain>
      <paraID>4945D0A8</paraID>
      <start>31</start>
      <end>34</end>
      <status>ignored</status>
      <modifiedWord/>
      <trackRevisions>false</trackRevisions>
    </reviewItem>
    <reviewItem>
      <errorID>bfd2cbad-398b-4f64-9411-2b3dea6bdc27</errorID>
      <errorWord>人</errorWord>
      <group>L1_Word</group>
      <groupName>字词问题</groupName>
      <ability>L2_Typo</ability>
      <abilityName>字词错误</abilityName>
      <candidateList>
        <item>人在</item>
      </candidateList>
      <explain/>
      <paraID> 48A01E9</paraID>
      <start>11</start>
      <end>13</end>
      <status>modified</status>
      <modifiedWord>人在</modifiedWord>
      <trackRevisions>false</trackRevisions>
    </reviewItem>
    <reviewItem>
      <errorID>9eac41af-b082-4d3d-ad09-1807aaed5645</errorID>
      <errorWord>：/</errorWord>
      <group>L1_Punc</group>
      <groupName>标点问题</groupName>
      <ability>L2_Punc</ability>
      <abilityName>标点符号检查</abilityName>
      <candidateList>
        <item>：</item>
      </candidateList>
      <explain/>
      <paraID>18A84A6E</paraID>
      <start>20</start>
      <end>22</end>
      <status>ignored</status>
      <modifiedWord/>
      <trackRevisions>false</trackRevisions>
    </reviewItem>
    <reviewItem>
      <errorID>0d9b507d-3d93-47e6-900b-2eb7ac48f2fe</errorID>
      <errorWord>：/。</errorWord>
      <group>L1_Punc</group>
      <groupName>标点问题</groupName>
      <ability>L2_Punc</ability>
      <abilityName>标点符号检查</abilityName>
      <candidateList>
        <item>：</item>
      </candidateList>
      <explain/>
      <paraID>61CD034F</paraID>
      <start>20</start>
      <end>23</end>
      <status>ignored</status>
      <modifiedWord/>
      <trackRevisions>false</trackRevisions>
    </reviewItem>
    <reviewItem>
      <errorID>29a5bda4-22ba-4ff4-bc78-348eab15f0da</errorID>
      <errorWord>：/。</errorWord>
      <group>L1_Punc</group>
      <groupName>标点问题</groupName>
      <ability>L2_Punc</ability>
      <abilityName>标点符号检查</abilityName>
      <candidateList>
        <item>：</item>
      </candidateList>
      <explain/>
      <paraID>5BEF64EE</paraID>
      <start>12</start>
      <end>15</end>
      <status>ignored</status>
      <modifiedWord/>
      <trackRevisions>false</trackRevisions>
    </reviewItem>
    <reviewItem>
      <errorID>1b1efce8-b539-4b26-a84d-2cbdc8dff6b3</errorID>
      <errorWord>变更的</errorWord>
      <group>L1_Word</group>
      <groupName>字词问题</groupName>
      <ability>L2_Typo</ability>
      <abilityName>字词错误</abilityName>
      <candidateList>
        <item>变更</item>
      </candidateList>
      <explain>〈动〉改变；变动：～原定赛程｜修订版的内容有些～。</explain>
      <paraID>7BBD7A1B</paraID>
      <start>2</start>
      <end>4</end>
      <status>modified</status>
      <modifiedWord>变更</modifiedWord>
      <trackRevisions>false</trackRevisions>
    </reviewItem>
    <reviewItem>
      <errorID>abfd0d34-18eb-4963-9766-c8e458ad89c7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19A9243E</paraID>
      <start>0</start>
      <end>2</end>
      <status>modified</status>
      <modifiedWord>1.</modifiedWord>
      <trackRevisions>false</trackRevisions>
    </reviewItem>
    <reviewItem>
      <errorID>046cd3e1-5668-4aa9-ad94-a6cdd3a99238</errorID>
      <errorWord>人</errorWord>
      <group>L1_Word</group>
      <groupName>字词问题</groupName>
      <ability>L2_Typo</ability>
      <abilityName>字词错误</abilityName>
      <candidateList>
        <item>人在</item>
      </candidateList>
      <explain/>
      <paraID>697EF53B</paraID>
      <start>14</start>
      <end>16</end>
      <status>modified</status>
      <modifiedWord>人在</modifiedWord>
      <trackRevisions>false</trackRevisions>
    </reviewItem>
    <reviewItem>
      <errorID>96491e63-69a4-4f45-83fe-23cef2ccee18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4FE3A260</paraID>
      <start>0</start>
      <end>2</end>
      <status>modified</status>
      <modifiedWord>2.</modifiedWord>
      <trackRevisions>false</trackRevisions>
    </reviewItem>
    <reviewItem>
      <errorID>9c218273-8bbc-4b88-ae6e-2c99aa90b997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495AD6CB</paraID>
      <start>0</start>
      <end>2</end>
      <status>modified</status>
      <modifiedWord>3.</modifiedWord>
      <trackRevisions>false</trackRevisions>
    </reviewItem>
    <reviewItem>
      <errorID>081eda91-4dcc-4722-a660-968c19654a72</errorID>
      <errorWord>(</errorWord>
      <group>L1_Format</group>
      <groupName>格式问题</groupName>
      <ability>L2_HalfPunc</ability>
      <abilityName>全半角检查</abilityName>
      <candidateList>
        <item>（</item>
      </candidateList>
      <explain>文本全半角错误。</explain>
      <paraID>2C10A9FB</paraID>
      <start>102</start>
      <end>103</end>
      <status>modified</status>
      <modifiedWord>（</modifiedWord>
      <trackRevisions>false</trackRevisions>
    </reviewItem>
    <reviewItem>
      <errorID>ee556532-2624-495d-b0c5-c166b23cc6db</errorID>
      <errorWord>/。</errorWord>
      <group>L1_Punc</group>
      <groupName>标点问题</groupName>
      <ability>L2_Punc</ability>
      <abilityName>标点符号检查</abilityName>
      <candidateList>
        <item>/</item>
      </candidateList>
      <explain/>
      <paraID>1E62A505</paraID>
      <start>16</start>
      <end>17</end>
      <status>modified</status>
      <modifiedWord>/</modifiedWord>
      <trackRevisions>false</trackRevisions>
    </reviewItem>
    <reviewItem>
      <errorID>3b5d74cb-0434-40ca-9f48-e4cb1a325e78</errorID>
      <errorWord>：/。</errorWord>
      <group>L1_Punc</group>
      <groupName>标点问题</groupName>
      <ability>L2_Punc</ability>
      <abilityName>标点符号检查</abilityName>
      <candidateList>
        <item>：</item>
      </candidateList>
      <explain/>
      <paraID>751C5E26</paraID>
      <start>6</start>
      <end>7</end>
      <status>modified</status>
      <modifiedWord>：</modifiedWord>
      <trackRevisions>false</trackRevisions>
    </reviewItem>
    <reviewItem>
      <errorID>a6ecf5c6-42ab-44d9-a119-b15b7bc9c8f0</errorID>
      <errorWord>：/。</errorWord>
      <group>L1_Punc</group>
      <groupName>标点问题</groupName>
      <ability>L2_Punc</ability>
      <abilityName>标点符号检查</abilityName>
      <candidateList>
        <item>：</item>
      </candidateList>
      <explain/>
      <paraID> 5821CA2</paraID>
      <start>13</start>
      <end>16</end>
      <status>ignored</status>
      <modifiedWord/>
      <trackRevisions>false</trackRevisions>
    </reviewItem>
    <reviewItem>
      <errorID>ec14fc4d-1768-4a68-ac95-1acba456337d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575672EC</paraID>
      <start>0</start>
      <end>2</end>
      <status>modified</status>
      <modifiedWord>2.</modifiedWord>
      <trackRevisions>false</trackRevisions>
    </reviewItem>
    <reviewItem>
      <errorID>74efd9e0-4e44-4dc2-baf4-21898446d5b1</errorID>
      <errorWord>限</errorWord>
      <group>L1_Word</group>
      <groupName>字词问题</groupName>
      <ability>L2_Typo</ability>
      <abilityName>字词错误</abilityName>
      <candidateList>
        <item>限内</item>
      </candidateList>
      <explain/>
      <paraID>13E77D53</paraID>
      <start>24</start>
      <end>26</end>
      <status>modified</status>
      <modifiedWord>限内</modifiedWord>
      <trackRevisions>false</trackRevisions>
    </reviewItem>
    <reviewItem>
      <errorID>592c7763-c3b2-4fcf-8c03-62d815b53bb2</errorID>
      <errorWord>程</errorWord>
      <group>L1_Word</group>
      <groupName>字词问题</groupName>
      <ability>L2_Typo</ability>
      <abilityName>字词错误</abilityName>
      <candidateList>
        <item>程中</item>
      </candidateList>
      <explain/>
      <paraID>74A66B69</paraID>
      <start>8</start>
      <end>9</end>
      <status>ignored</status>
      <modifiedWord/>
      <trackRevisions>false</trackRevisions>
    </reviewItem>
    <reviewItem>
      <errorID>4256cffa-622e-4f57-ab88-e4064872ed6e</errorID>
      <errorWord>视</errorWord>
      <group>L1_Word</group>
      <groupName>字词问题</groupName>
      <ability>L2_Typo</ability>
      <abilityName>字词错误</abilityName>
      <candidateList>
        <item>视为</item>
      </candidateList>
      <explain/>
      <paraID>44C955A4</paraID>
      <start>60</start>
      <end>62</end>
      <status>modified</status>
      <modifiedWord>视为</modifiedWord>
      <trackRevisions>false</trackRevisions>
    </reviewItem>
    <reviewItem>
      <errorID>67e274ed-d198-44ad-808f-ae719ec81045</errorID>
      <errorWord>视为是</errorWord>
      <group>L1_Word</group>
      <groupName>字词问题</groupName>
      <ability>L2_Typo</ability>
      <abilityName>字词错误</abilityName>
      <candidateList>
        <item>视为</item>
      </candidateList>
      <explain/>
      <paraID>127BC861</paraID>
      <start>23</start>
      <end>26</end>
      <status>ignored</status>
      <modifiedWord/>
      <trackRevisions>false</trackRevisions>
    </reviewItem>
    <reviewItem>
      <errorID>a98a8f18-5af3-460e-8cd7-a61b24e119de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55BCD166</paraID>
      <start>0</start>
      <end>2</end>
      <status>modified</status>
      <modifiedWord>1.</modifiedWord>
      <trackRevisions>false</trackRevisions>
    </reviewItem>
    <reviewItem>
      <errorID>e4b2a840-e1cd-4907-b655-c5f837491202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2072F715</paraID>
      <start>0</start>
      <end>2</end>
      <status>modified</status>
      <modifiedWord>2.</modifiedWord>
      <trackRevisions>false</trackRevisions>
    </reviewItem>
    <reviewItem>
      <errorID>1ecfd3b3-c3e8-4966-a247-7dc98d294f5a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67C8B8FD</paraID>
      <start>0</start>
      <end>2</end>
      <status>modified</status>
      <modifiedWord>3.</modifiedWord>
      <trackRevisions>false</trackRevisions>
    </reviewItem>
    <reviewItem>
      <errorID>592059f8-752f-40eb-a01b-c44f1e6ac26e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22381AD9</paraID>
      <start>0</start>
      <end>2</end>
      <status>modified</status>
      <modifiedWord>4.</modifiedWord>
      <trackRevisions>false</trackRevisions>
    </reviewItem>
    <reviewItem>
      <errorID>f8f48a4a-56b0-4aa0-b71c-2e6ce795d0a1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41A26D78</paraID>
      <start>0</start>
      <end>2</end>
      <status>modified</status>
      <modifiedWord>5.</modifiedWord>
      <trackRevisions>false</trackRevisions>
    </reviewItem>
    <reviewItem>
      <errorID>44b9e4a0-c624-4455-bc13-240614e04c70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7197878A</paraID>
      <start>0</start>
      <end>2</end>
      <status>modified</status>
      <modifiedWord>6.</modifiedWord>
      <trackRevisions>false</trackRevisions>
    </reviewItem>
    <reviewItem>
      <errorID>3f2fcb5a-7564-407c-b82a-1316b8cf8216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7A747BFF</paraID>
      <start>0</start>
      <end>2</end>
      <status>modified</status>
      <modifiedWord>7.</modifiedWord>
      <trackRevisions>false</trackRevisions>
    </reviewItem>
    <reviewItem>
      <errorID>cfbc5f8e-0171-48d8-ba88-b3e4e1a47c99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75FA69CB</paraID>
      <start>0</start>
      <end>2</end>
      <status>modified</status>
      <modifiedWord>8.</modifiedWord>
      <trackRevisions>false</trackRevisions>
    </reviewItem>
    <reviewItem>
      <errorID>4470e7ad-afef-4c43-84e1-cf42226e21a6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1093F108</paraID>
      <start>0</start>
      <end>2</end>
      <status>modified</status>
      <modifiedWord>1.</modifiedWord>
      <trackRevisions>false</trackRevisions>
    </reviewItem>
    <reviewItem>
      <errorID>8cb37529-7368-4a0c-829a-f21e096c2ce1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6B6F180B</paraID>
      <start>0</start>
      <end>2</end>
      <status>modified</status>
      <modifiedWord>2.</modifiedWord>
      <trackRevisions>false</trackRevisions>
    </reviewItem>
    <reviewItem>
      <errorID>fe6cf0f8-abad-4e25-b7d2-2ca79af1f4d4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9486303</paraID>
      <start>0</start>
      <end>2</end>
      <status>modified</status>
      <modifiedWord>3.</modifiedWord>
      <trackRevisions>false</trackRevisions>
    </reviewItem>
    <reviewItem>
      <errorID>d1e6548b-a80a-4a04-84dc-7ebd05713c2c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33901E17</paraID>
      <start>0</start>
      <end>2</end>
      <status>modified</status>
      <modifiedWord>4.</modifiedWord>
      <trackRevisions>false</trackRevisions>
    </reviewItem>
    <reviewItem>
      <errorID>d190b668-afa4-419d-8247-3f95c992331a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36E07E24</paraID>
      <start>0</start>
      <end>2</end>
      <status>modified</status>
      <modifiedWord>5.</modifiedWord>
      <trackRevisions>false</trackRevisions>
    </reviewItem>
    <reviewItem>
      <errorID>c66ff034-61b9-4b20-b7df-3426c61f24b0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1B6F3C1C</paraID>
      <start>0</start>
      <end>2</end>
      <status>modified</status>
      <modifiedWord>6.</modifiedWord>
      <trackRevisions>false</trackRevisions>
    </reviewItem>
    <reviewItem>
      <errorID>204cc67a-fb5c-4e9e-9f1f-95023aa6f08e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1B9728AC</paraID>
      <start>0</start>
      <end>2</end>
      <status>modified</status>
      <modifiedWord>7.</modifiedWord>
      <trackRevisions>false</trackRevisions>
    </reviewItem>
    <reviewItem>
      <errorID>e6775d96-7cc2-4205-bbd4-610b0f5fb5c3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FFC497C</paraID>
      <start>0</start>
      <end>2</end>
      <status>modified</status>
      <modifiedWord>8.</modifiedWord>
      <trackRevisions>false</trackRevisions>
    </reviewItem>
    <reviewItem>
      <errorID>a804d928-ba8f-4381-a546-d5dac297328d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52CABF42</paraID>
      <start>0</start>
      <end>2</end>
      <status>modified</status>
      <modifiedWord>1.</modifiedWord>
      <trackRevisions>false</trackRevisions>
    </reviewItem>
    <reviewItem>
      <errorID>34a7a22e-fc64-4208-972c-5886508eb586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198045B1</paraID>
      <start>0</start>
      <end>2</end>
      <status>modified</status>
      <modifiedWord>2.</modifiedWord>
      <trackRevisions>false</trackRevisions>
    </reviewItem>
    <reviewItem>
      <errorID>32b057d1-42f4-41ad-ac3c-74cdff9983d8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3457D084</paraID>
      <start>0</start>
      <end>2</end>
      <status>modified</status>
      <modifiedWord>3.</modifiedWord>
      <trackRevisions>false</trackRevisions>
    </reviewItem>
    <reviewItem>
      <errorID>ef6af7e4-a0ca-4edb-a578-78d655bae2ae</errorID>
      <errorWord>，</errorWord>
      <group>L1_Word</group>
      <groupName>字词问题</groupName>
      <ability>L2_Typo</ability>
      <abilityName>字词错误</abilityName>
      <candidateList>
        <item>，由</item>
      </candidateList>
      <explain/>
      <paraID>3457D084</paraID>
      <start>92</start>
      <end>94</end>
      <status>modified</status>
      <modifiedWord>，由</modifiedWord>
      <trackRevisions>false</trackRevisions>
    </reviewItem>
    <reviewItem>
      <errorID>16e6f61a-ba4a-4010-8405-b6e8b9ae6360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14E57661</paraID>
      <start>0</start>
      <end>2</end>
      <status>modified</status>
      <modifiedWord>4.</modifiedWord>
      <trackRevisions>false</trackRevisions>
    </reviewItem>
    <reviewItem>
      <errorID>73d14255-c693-486d-85a1-bc00f92fd80d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548BD02E</paraID>
      <start>0</start>
      <end>2</end>
      <status>modified</status>
      <modifiedWord>1.</modifiedWord>
      <trackRevisions>false</trackRevisions>
    </reviewItem>
    <reviewItem>
      <errorID>8afd8c58-e0ab-4459-8223-ff0a78daee12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3054CF73</paraID>
      <start>0</start>
      <end>2</end>
      <status>modified</status>
      <modifiedWord>2.</modifiedWord>
      <trackRevisions>false</trackRevisions>
    </reviewItem>
    <reviewItem>
      <errorID>aa6ac10e-a3f7-4e2e-a8db-5041ee7d1758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52A629D0</paraID>
      <start>0</start>
      <end>2</end>
      <status>modified</status>
      <modifiedWord>3.</modifiedWord>
      <trackRevisions>false</trackRevisions>
    </reviewItem>
    <reviewItem>
      <errorID>ae1ebc21-d57d-45a2-8237-88e2ebce7f3d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73607E51</paraID>
      <start>0</start>
      <end>2</end>
      <status>modified</status>
      <modifiedWord>4.</modifiedWord>
      <trackRevisions>false</trackRevisions>
    </reviewItem>
    <reviewItem>
      <errorID>cb21d7bf-4c09-43af-a33f-0c0b0101d543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79A91BB6</paraID>
      <start>0</start>
      <end>2</end>
      <status>modified</status>
      <modifiedWord>5.</modifiedWord>
      <trackRevisions>false</trackRevisions>
    </reviewItem>
    <reviewItem>
      <errorID>18a2b2d7-c1e5-474d-a016-712e3098e343</errorID>
      <errorWord>保护的</errorWord>
      <group>L1_Word</group>
      <groupName>字词问题</groupName>
      <ability>L2_Typo</ability>
      <abilityName>字词错误</abilityName>
      <candidateList>
        <item>保护</item>
      </candidateList>
      <explain/>
      <paraID>79A91BB6</paraID>
      <start>62</start>
      <end>65</end>
      <status>ignored</status>
      <modifiedWord/>
      <trackRevisions>false</trackRevisions>
    </reviewItem>
    <reviewItem>
      <errorID>bc26da3c-ad8d-4286-93b4-7ae8f3abc923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2C6E36D</paraID>
      <start>0</start>
      <end>2</end>
      <status>modified</status>
      <modifiedWord>6.</modifiedWord>
      <trackRevisions>false</trackRevisions>
    </reviewItem>
    <reviewItem>
      <errorID>8758d539-4111-49f1-967d-0a2b9b3907f0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5FD8D470</paraID>
      <start>0</start>
      <end>2</end>
      <status>modified</status>
      <modifiedWord>7.</modifiedWord>
      <trackRevisions>false</trackRevisions>
    </reviewItem>
    <reviewItem>
      <errorID>a4e8f504-29de-4a65-a045-d721fed183e3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40A187E</paraID>
      <start>0</start>
      <end>2</end>
      <status>modified</status>
      <modifiedWord>8.</modifiedWord>
      <trackRevisions>false</trackRevisions>
    </reviewItem>
    <reviewItem>
      <errorID>353fc409-f9cd-4f97-8918-e4b28264a770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BDA1413</paraID>
      <start>0</start>
      <end>2</end>
      <status>modified</status>
      <modifiedWord>9.</modifiedWord>
      <trackRevisions>false</trackRevisions>
    </reviewItem>
    <reviewItem>
      <errorID>d5f733ff-629d-42d7-9177-30ca740ce529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6323E7D1</paraID>
      <start>0</start>
      <end>3</end>
      <status>modified</status>
      <modifiedWord>10.</modifiedWord>
      <trackRevisions>false</trackRevisions>
    </reviewItem>
    <reviewItem>
      <errorID>1f2cca84-3856-4934-a652-2051f722a401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6DCB18A</paraID>
      <start>0</start>
      <end>3</end>
      <status>modified</status>
      <modifiedWord>11.</modifiedWord>
      <trackRevisions>false</trackRevisions>
    </reviewItem>
    <reviewItem>
      <errorID>4c556daa-9c00-4e81-9dc1-fcc0c0c05a63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4A33BD2</paraID>
      <start>0</start>
      <end>3</end>
      <status>modified</status>
      <modifiedWord>12.</modifiedWord>
      <trackRevisions>false</trackRevisions>
    </reviewItem>
    <reviewItem>
      <errorID>8f84cf10-afb2-4315-9097-483700797507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56660AF3</paraID>
      <start>0</start>
      <end>3</end>
      <status>modified</status>
      <modifiedWord>13.</modifiedWord>
      <trackRevisions>false</trackRevisions>
    </reviewItem>
    <reviewItem>
      <errorID>e4fef774-ef93-4ee3-8a72-3b73796d1aee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105FF515</paraID>
      <start>0</start>
      <end>3</end>
      <status>modified</status>
      <modifiedWord>14.</modifiedWord>
      <trackRevisions>false</trackRevisions>
    </reviewItem>
    <reviewItem>
      <errorID>a6a498c0-1860-44ef-ae38-e6eaf54d183f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541ECE68</paraID>
      <start>0</start>
      <end>3</end>
      <status>modified</status>
      <modifiedWord>15.</modifiedWord>
      <trackRevisions>false</trackRevisions>
    </reviewItem>
    <reviewItem>
      <errorID>cebe8760-4d51-42b9-b086-23a643e052bd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56927159</paraID>
      <start>0</start>
      <end>3</end>
      <status>modified</status>
      <modifiedWord>16.</modifiedWord>
      <trackRevisions>false</trackRevisions>
    </reviewItem>
    <reviewItem>
      <errorID>8d4a1694-ca57-4af5-af69-da464db3bc1b</errorID>
      <errorWord>气割</errorWord>
      <group>L1_Word</group>
      <groupName>字词问题</groupName>
      <ability>L2_Typo</ability>
      <abilityName>字词错误</abilityName>
      <candidateList>
        <item>切割</item>
      </candidateList>
      <explain/>
      <paraID>56927159</paraID>
      <start>50</start>
      <end>52</end>
      <status>ignored</status>
      <modifiedWord/>
      <trackRevisions>false</trackRevisions>
    </reviewItem>
    <reviewItem>
      <errorID>1df9d827-a21c-4165-a709-b13e37e8976d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48BF8EF9</paraID>
      <start>0</start>
      <end>3</end>
      <status>modified</status>
      <modifiedWord>17.</modifiedWord>
      <trackRevisions>false</trackRevisions>
    </reviewItem>
    <reviewItem>
      <errorID>528dafaf-65f1-4bc0-9d6f-10a4c11ceeda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5DB2174F</paraID>
      <start>0</start>
      <end>3</end>
      <status>modified</status>
      <modifiedWord>18.</modifiedWord>
      <trackRevisions>false</trackRevisions>
    </reviewItem>
    <reviewItem>
      <errorID>2734c428-c3d4-4a72-9018-51f9a74b4e65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4102EC4C</paraID>
      <start>0</start>
      <end>3</end>
      <status>modified</status>
      <modifiedWord>19.</modifiedWord>
      <trackRevisions>false</trackRevisions>
    </reviewItem>
    <reviewItem>
      <errorID>ae867d58-4571-41eb-8473-a794af61bc72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308C83C7</paraID>
      <start>0</start>
      <end>3</end>
      <status>modified</status>
      <modifiedWord>20.</modifiedWord>
      <trackRevisions>false</trackRevisions>
    </reviewItem>
    <reviewItem>
      <errorID>f6c264b1-28de-47d2-923e-fb8c6f33dbac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481AAA6F</paraID>
      <start>0</start>
      <end>3</end>
      <status>modified</status>
      <modifiedWord>21.</modifiedWord>
      <trackRevisions>false</trackRevisions>
    </reviewItem>
    <reviewItem>
      <errorID>81c71c2e-0635-4e6c-a965-10c6aabda3b2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648CD87</paraID>
      <start>30</start>
      <end>31</end>
      <status>ignored</status>
      <modifiedWord/>
      <trackRevisions>false</trackRevisions>
    </reviewItem>
    <reviewItem>
      <errorID>bb455fd1-c643-4a09-8030-8305aeed29dd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76748259</paraID>
      <start>14</start>
      <end>15</end>
      <status>ignored</status>
      <modifiedWord/>
      <trackRevisions>false</trackRevisions>
    </reviewItem>
    <reviewItem>
      <errorID>cdd8eb66-4fea-4877-8ec0-a6a4d6171bfe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7BF6EE9D</paraID>
      <start>0</start>
      <end>2</end>
      <status>modified</status>
      <modifiedWord>2.</modifiedWord>
      <trackRevisions>false</trackRevisions>
    </reviewItem>
    <reviewItem>
      <errorID>6ad2708e-473a-4103-bec0-141f36c92617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494500F8</paraID>
      <start>0</start>
      <end>2</end>
      <status>modified</status>
      <modifiedWord>3.</modifiedWord>
      <trackRevisions>false</trackRevisions>
    </reviewItem>
    <reviewItem>
      <errorID>5947774f-ec2f-4501-b2fc-0231419a96f1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65D126EF</paraID>
      <start>0</start>
      <end>2</end>
      <status>modified</status>
      <modifiedWord>4.</modifiedWord>
      <trackRevisions>false</trackRevisions>
    </reviewItem>
    <reviewItem>
      <errorID>7f2f8c89-fa41-4bf8-8f18-31e455554011</errorID>
      <errorWord>所有的</errorWord>
      <group>L1_Word</group>
      <groupName>字词问题</groupName>
      <ability>L2_Typo</ability>
      <abilityName>字词错误</abilityName>
      <candidateList>
        <item>所有</item>
      </candidateList>
      <explain/>
      <paraID>65D126EF</paraID>
      <start>11</start>
      <end>14</end>
      <status>ignored</status>
      <modifiedWord/>
      <trackRevisions>false</trackRevisions>
    </reviewItem>
    <reviewItem>
      <errorID>4e272901-5a14-433c-86b0-0f7ff83b0eec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120974BE</paraID>
      <start>0</start>
      <end>2</end>
      <status>modified</status>
      <modifiedWord>5.</modifiedWord>
      <trackRevisions>false</trackRevisions>
    </reviewItem>
    <reviewItem>
      <errorID>d9658fad-9a1d-413d-8e16-4d2d7b9257c6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74245530</paraID>
      <start>0</start>
      <end>2</end>
      <status>modified</status>
      <modifiedWord>6.</modifiedWord>
      <trackRevisions>false</trackRevisions>
    </reviewItem>
    <reviewItem>
      <errorID>81c50fae-800e-4743-a526-638eb73505ed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E1DE5C4</paraID>
      <start>0</start>
      <end>2</end>
      <status>modified</status>
      <modifiedWord>7.</modifiedWord>
      <trackRevisions>false</trackRevisions>
    </reviewItem>
    <reviewItem>
      <errorID>36b69702-a251-425a-968b-68207e80e100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5458B2C4</paraID>
      <start>0</start>
      <end>2</end>
      <status>modified</status>
      <modifiedWord>8.</modifiedWord>
      <trackRevisions>false</trackRevisions>
    </reviewItem>
    <reviewItem>
      <errorID>8db29e9e-ecc2-4d13-a10c-5949294820f5</errorID>
      <errorWord>(</errorWord>
      <group>L1_Format</group>
      <groupName>格式问题</groupName>
      <ability>L2_HalfPunc</ability>
      <abilityName>全半角检查</abilityName>
      <candidateList>
        <item>（</item>
      </candidateList>
      <explain>文本全半角错误。</explain>
      <paraID>7706A8BF</paraID>
      <start>12</start>
      <end>13</end>
      <status>modified</status>
      <modifiedWord>（</modifiedWord>
      <trackRevisions>false</trackRevisions>
    </reviewItem>
    <reviewItem>
      <errorID>8b9d1a87-e006-4e48-be5d-f57254128eb4</errorID>
      <errorWord>)</errorWord>
      <group>L1_Format</group>
      <groupName>格式问题</groupName>
      <ability>L2_HalfPunc</ability>
      <abilityName>全半角检查</abilityName>
      <candidateList>
        <item>）</item>
      </candidateList>
      <explain>文本全半角错误。</explain>
      <paraID>7706A8BF</paraID>
      <start>15</start>
      <end>16</end>
      <status>modified</status>
      <modifiedWord>）</modifiedWord>
      <trackRevisions>false</trackRevisions>
    </reviewItem>
    <reviewItem>
      <errorID>71947afb-35bf-42dc-8c15-5fb4acdfbd41</errorID>
      <errorWord>(</errorWord>
      <group>L1_Format</group>
      <groupName>格式问题</groupName>
      <ability>L2_HalfPunc</ability>
      <abilityName>全半角检查</abilityName>
      <candidateList>
        <item>（</item>
      </candidateList>
      <explain>文本全半角错误。</explain>
      <paraID> 1A172A4</paraID>
      <start>5</start>
      <end>6</end>
      <status>modified</status>
      <modifiedWord>（</modifiedWord>
      <trackRevisions>false</trackRevisions>
    </reviewItem>
    <reviewItem>
      <errorID>f93d8148-5aea-41d9-a80d-dd07c5485755</errorID>
      <errorWord>)</errorWord>
      <group>L1_Format</group>
      <groupName>格式问题</groupName>
      <ability>L2_HalfPunc</ability>
      <abilityName>全半角检查</abilityName>
      <candidateList>
        <item>）</item>
      </candidateList>
      <explain>文本全半角错误。</explain>
      <paraID> 1A172A4</paraID>
      <start>7</start>
      <end>8</end>
      <status>modified</status>
      <modifiedWord>）</modifiedWord>
      <trackRevisions>false</trackRevisions>
    </reviewItem>
    <reviewItem>
      <errorID>14aa9913-7ba4-469b-8b17-8d82f6122e4b</errorID>
      <errorWord>合价</errorWord>
      <group>L1_Word</group>
      <groupName>字词问题</groupName>
      <ability>L2_Typo</ability>
      <abilityName>字词错误</abilityName>
      <candidateList>
        <item>评价</item>
      </candidateList>
      <explain/>
      <paraID>6271A5BA</paraID>
      <start>2</start>
      <end>4</end>
      <status>ignored</status>
      <modifiedWord/>
      <trackRevisions>false</trackRevisions>
    </reviewItem>
    <reviewItem>
      <errorID>739e569e-ccef-4e23-ac1a-1b91b33e58a7</errorID>
      <errorWord>:</errorWord>
      <group>L1_Format</group>
      <groupName>格式问题</groupName>
      <ability>L2_HalfPunc</ability>
      <abilityName>全半角检查</abilityName>
      <candidateList>
        <item>：</item>
      </candidateList>
      <explain>文本全半角错误。</explain>
      <paraID>1875D18F</paraID>
      <start>4</start>
      <end>5</end>
      <status>modified</status>
      <modifiedWord>：</modifiedWord>
      <trackRevisions>false</trackRevisions>
    </reviewItem>
    <reviewItem>
      <errorID>85519f87-81df-47a6-ade5-24879668bffb</errorID>
      <errorWord>:</errorWord>
      <group>L1_Format</group>
      <groupName>格式问题</groupName>
      <ability>L2_HalfPunc</ability>
      <abilityName>全半角检查</abilityName>
      <candidateList>
        <item>：</item>
      </candidateList>
      <explain>文本全半角错误。</explain>
      <paraID>1E1D81F8</paraID>
      <start>2</start>
      <end>3</end>
      <status>modified</status>
      <modifiedWord>：</modifiedWord>
      <trackRevisions>false</trackRevisions>
    </reviewItem>
    <reviewItem>
      <errorID>95ef1575-284b-4e9f-b127-7946a08e46ce</errorID>
      <errorWord>:</errorWord>
      <group>L1_Format</group>
      <groupName>格式问题</groupName>
      <ability>L2_HalfPunc</ability>
      <abilityName>全半角检查</abilityName>
      <candidateList>
        <item>：</item>
      </candidateList>
      <explain>文本全半角错误。</explain>
      <paraID>4A0BCAEE</paraID>
      <start>2</start>
      <end>3</end>
      <status>modified</status>
      <modifiedWord>：</modifiedWord>
      <trackRevisions>false</trackRevisions>
    </reviewItem>
    <reviewItem>
      <errorID>7437e9a9-1935-4418-8470-2116f403a5db</errorID>
      <errorWord>:</errorWord>
      <group>L1_Format</group>
      <groupName>格式问题</groupName>
      <ability>L2_HalfPunc</ability>
      <abilityName>全半角检查</abilityName>
      <candidateList>
        <item>：</item>
      </candidateList>
      <explain>文本全半角错误。</explain>
      <paraID>4A0BCAEE</paraID>
      <start>10</start>
      <end>11</end>
      <status>modified</status>
      <modifiedWord>：</modifiedWord>
      <trackRevisions>false</trackRevisions>
    </reviewItem>
    <reviewItem>
      <errorID>9070f5f8-3734-4742-bfc7-e3b60b52a3a0</errorID>
      <errorWord>:</errorWord>
      <group>L1_Format</group>
      <groupName>格式问题</groupName>
      <ability>L2_HalfPunc</ability>
      <abilityName>全半角检查</abilityName>
      <candidateList>
        <item>：</item>
      </candidateList>
      <explain>文本全半角错误。</explain>
      <paraID>4A0BCAEE</paraID>
      <start>19</start>
      <end>20</end>
      <status>modified</status>
      <modifiedWord>：</modifiedWord>
      <trackRevisions>false</trackRevisions>
    </reviewItem>
    <reviewItem>
      <errorID>af301f78-9393-4516-8d7e-09d5f6a933ab</errorID>
      <errorWord>:</errorWord>
      <group>L1_Format</group>
      <groupName>格式问题</groupName>
      <ability>L2_HalfPunc</ability>
      <abilityName>全半角检查</abilityName>
      <candidateList>
        <item>：</item>
      </candidateList>
      <explain>文本全半角错误。</explain>
      <paraID>4A0BCAEE</paraID>
      <start>28</start>
      <end>29</end>
      <status>modified</status>
      <modifiedWord>：</modifiedWord>
      <trackRevisions>false</trackRevisions>
    </reviewItem>
    <reviewItem>
      <errorID>18f05c4e-b283-4902-8594-d883da4c346e</errorID>
      <errorWord>:</errorWord>
      <group>L1_Format</group>
      <groupName>格式问题</groupName>
      <ability>L2_HalfPunc</ability>
      <abilityName>全半角检查</abilityName>
      <candidateList>
        <item>：</item>
      </candidateList>
      <explain>文本全半角错误。</explain>
      <paraID>779C349C</paraID>
      <start>20</start>
      <end>21</end>
      <status>modified</status>
      <modifiedWord>：</modifiedWord>
      <trackRevisions>false</trackRevisions>
    </reviewItem>
    <reviewItem>
      <errorID>6cb27757-7b25-42b6-b45e-68f8dbc23799</errorID>
      <errorWord>:</errorWord>
      <group>L1_Format</group>
      <groupName>格式问题</groupName>
      <ability>L2_HalfPunc</ability>
      <abilityName>全半角检查</abilityName>
      <candidateList>
        <item>：</item>
      </candidateList>
      <explain>文本全半角错误。</explain>
      <paraID>33703C19</paraID>
      <start>24</start>
      <end>25</end>
      <status>modified</status>
      <modifiedWord>：</modifiedWord>
      <trackRevisions>false</trackRevisions>
    </reviewItem>
    <reviewItem>
      <errorID>f72841cf-e26e-4abb-b19c-41d8185eeb48</errorID>
      <errorWord>:</errorWord>
      <group>L1_Format</group>
      <groupName>格式问题</groupName>
      <ability>L2_HalfPunc</ability>
      <abilityName>全半角检查</abilityName>
      <candidateList>
        <item>：</item>
      </candidateList>
      <explain>文本全半角错误。</explain>
      <paraID>13626AFE</paraID>
      <start>7</start>
      <end>8</end>
      <status>modified</status>
      <modifiedWord>：</modifiedWord>
      <trackRevisions>false</trackRevisions>
    </reviewItem>
    <reviewItem>
      <errorID>362c1ea7-18b8-4a8b-bf3d-934f51573005</errorID>
      <errorWord>:</errorWord>
      <group>L1_Format</group>
      <groupName>格式问题</groupName>
      <ability>L2_HalfPunc</ability>
      <abilityName>全半角检查</abilityName>
      <candidateList>
        <item>：</item>
      </candidateList>
      <explain>文本全半角错误。</explain>
      <paraID>58BA55F2</paraID>
      <start>3</start>
      <end>4</end>
      <status>modified</status>
      <modifiedWord>：</modifiedWord>
      <trackRevisions>false</trackRevisions>
    </reviewItem>
    <reviewItem>
      <errorID>90dab9b3-cc65-48cc-ac3d-7161682f78c8</errorID>
      <errorWord>:</errorWord>
      <group>L1_Format</group>
      <groupName>格式问题</groupName>
      <ability>L2_HalfPunc</ability>
      <abilityName>全半角检查</abilityName>
      <candidateList>
        <item>：</item>
      </candidateList>
      <explain>文本全半角错误。</explain>
      <paraID>58BA55F2</paraID>
      <start>18</start>
      <end>19</end>
      <status>modified</status>
      <modifiedWord>：</modifiedWord>
      <trackRevisions>false</trackRevisions>
    </reviewItem>
    <reviewItem>
      <errorID>efbfd126-3b59-4cd4-852b-f4bbf39d1186</errorID>
      <errorWord>:</errorWord>
      <group>L1_Format</group>
      <groupName>格式问题</groupName>
      <ability>L2_HalfPunc</ability>
      <abilityName>全半角检查</abilityName>
      <candidateList>
        <item>：</item>
      </candidateList>
      <explain>文本全半角错误。</explain>
      <paraID>400447F9</paraID>
      <start>5</start>
      <end>6</end>
      <status>modified</status>
      <modifiedWord>：</modifiedWord>
      <trackRevisions>false</trackRevisions>
    </reviewItem>
    <reviewItem>
      <errorID>64f840ec-f98f-4fc0-8a1b-75364de6d88b</errorID>
      <errorWord>:</errorWord>
      <group>L1_Format</group>
      <groupName>格式问题</groupName>
      <ability>L2_HalfPunc</ability>
      <abilityName>全半角检查</abilityName>
      <candidateList>
        <item>：</item>
      </candidateList>
      <explain>文本全半角错误。</explain>
      <paraID>2E821E44</paraID>
      <start>3</start>
      <end>4</end>
      <status>modified</status>
      <modifiedWord>：</modifiedWord>
      <trackRevisions>false</trackRevisions>
    </reviewItem>
    <reviewItem>
      <errorID>bb0e9cb1-9d85-4b44-9268-73991e12860e</errorID>
      <errorWord>:</errorWord>
      <group>L1_Format</group>
      <groupName>格式问题</groupName>
      <ability>L2_HalfPunc</ability>
      <abilityName>全半角检查</abilityName>
      <candidateList>
        <item>：</item>
      </candidateList>
      <explain>文本全半角错误。</explain>
      <paraID>2E821E44</paraID>
      <start>15</start>
      <end>16</end>
      <status>modified</status>
      <modifiedWord>：</modifiedWord>
      <trackRevisions>false</trackRevisions>
    </reviewItem>
    <reviewItem>
      <errorID>b9bccf8d-c3a8-4b88-8835-54c0ef6424c3</errorID>
      <errorWord>:</errorWord>
      <group>L1_Format</group>
      <groupName>格式问题</groupName>
      <ability>L2_HalfPunc</ability>
      <abilityName>全半角检查</abilityName>
      <candidateList>
        <item>：</item>
      </candidateList>
      <explain>文本全半角错误。</explain>
      <paraID>2E821E44</paraID>
      <start>25</start>
      <end>26</end>
      <status>modified</status>
      <modifiedWord>：</modifiedWord>
      <trackRevisions>false</trackRevisions>
    </reviewItem>
    <reviewItem>
      <errorID>7f6271c8-3d3e-463b-9d07-ac102e853709</errorID>
      <errorWord>:</errorWord>
      <group>L1_Format</group>
      <groupName>格式问题</groupName>
      <ability>L2_HalfPunc</ability>
      <abilityName>全半角检查</abilityName>
      <candidateList>
        <item>：</item>
      </candidateList>
      <explain>文本全半角错误。</explain>
      <paraID>6A021E2F</paraID>
      <start>4</start>
      <end>5</end>
      <status>modified</status>
      <modifiedWord>：</modifiedWord>
      <trackRevisions>false</trackRevisions>
    </reviewItem>
    <reviewItem>
      <errorID>108a315d-27c1-4003-8694-422d79e3e707</errorID>
      <errorWord>:</errorWord>
      <group>L1_Format</group>
      <groupName>格式问题</groupName>
      <ability>L2_HalfPunc</ability>
      <abilityName>全半角检查</abilityName>
      <candidateList>
        <item>：</item>
      </candidateList>
      <explain>文本全半角错误。</explain>
      <paraID>6A021E2F</paraID>
      <start>23</start>
      <end>24</end>
      <status>modified</status>
      <modifiedWord>：</modifiedWord>
      <trackRevisions>false</trackRevisions>
    </reviewItem>
    <reviewItem>
      <errorID>f34df6e5-d1f9-46d9-8d96-bc5f6905ca95</errorID>
      <errorWord>:</errorWord>
      <group>L1_Format</group>
      <groupName>格式问题</groupName>
      <ability>L2_HalfPunc</ability>
      <abilityName>全半角检查</abilityName>
      <candidateList>
        <item>：</item>
      </candidateList>
      <explain>文本全半角错误。</explain>
      <paraID>260C81A6</paraID>
      <start>5</start>
      <end>6</end>
      <status>modified</status>
      <modifiedWord>：</modifiedWord>
      <trackRevisions>false</trackRevisions>
    </reviewItem>
    <reviewItem>
      <errorID>8e228d24-2a70-4661-8c87-ffbd6f9bc147</errorID>
      <errorWord>:</errorWord>
      <group>L1_Format</group>
      <groupName>格式问题</groupName>
      <ability>L2_HalfPunc</ability>
      <abilityName>全半角检查</abilityName>
      <candidateList>
        <item>：</item>
      </candidateList>
      <explain>文本全半角错误。</explain>
      <paraID>260C81A6</paraID>
      <start>26</start>
      <end>27</end>
      <status>modified</status>
      <modifiedWord>：</modifiedWord>
      <trackRevisions>false</trackRevisions>
    </reviewItem>
    <reviewItem>
      <errorID>1f19f5eb-1cac-49ff-af7d-5da1a060474a</errorID>
      <errorWord>:</errorWord>
      <group>L1_Format</group>
      <groupName>格式问题</groupName>
      <ability>L2_HalfPunc</ability>
      <abilityName>全半角检查</abilityName>
      <candidateList>
        <item>：</item>
      </candidateList>
      <explain>文本全半角错误。</explain>
      <paraID>1991074B</paraID>
      <start>34</start>
      <end>35</end>
      <status>modified</status>
      <modifiedWord>：</modifiedWord>
      <trackRevisions>false</trackRevisions>
    </reviewItem>
    <reviewItem>
      <errorID>2e16fd0d-5aa3-4c71-86fe-1bd6dc45c771</errorID>
      <errorWord>:</errorWord>
      <group>L1_Format</group>
      <groupName>格式问题</groupName>
      <ability>L2_HalfPunc</ability>
      <abilityName>全半角检查</abilityName>
      <candidateList>
        <item>：</item>
      </candidateList>
      <explain>文本全半角错误。</explain>
      <paraID>49AFDE48</paraID>
      <start>4</start>
      <end>5</end>
      <status>modified</status>
      <modifiedWord>：</modifiedWord>
      <trackRevisions>false</trackRevisions>
    </reviewItem>
    <reviewItem>
      <errorID>38773e48-9f86-471e-8709-d2ac3bebcba9</errorID>
      <errorWord>:</errorWord>
      <group>L1_Format</group>
      <groupName>格式问题</groupName>
      <ability>L2_HalfPunc</ability>
      <abilityName>全半角检查</abilityName>
      <candidateList>
        <item>：</item>
      </candidateList>
      <explain>文本全半角错误。</explain>
      <paraID>136CD8AF</paraID>
      <start>4</start>
      <end>5</end>
      <status>modified</status>
      <modifiedWord>：</modifiedWord>
      <trackRevisions>false</trackRevisions>
    </reviewItem>
    <reviewItem>
      <errorID>158750a5-300c-4509-bbca-2c8fafdf3bc3</errorID>
      <errorWord>:</errorWord>
      <group>L1_Format</group>
      <groupName>格式问题</groupName>
      <ability>L2_HalfPunc</ability>
      <abilityName>全半角检查</abilityName>
      <candidateList>
        <item>：</item>
      </candidateList>
      <explain>文本全半角错误。</explain>
      <paraID> 8775916</paraID>
      <start>34</start>
      <end>35</end>
      <status>modified</status>
      <modifiedWord>：</modifiedWord>
      <trackRevisions>false</trackRevisions>
    </reviewItem>
    <reviewItem>
      <errorID>6dcd3508-2943-4111-85b7-346093fd5e20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2C8AC09A</paraID>
      <start>0</start>
      <end>2</end>
      <status>modified</status>
      <modifiedWord>1.</modifiedWord>
      <trackRevisions>false</trackRevisions>
    </reviewItem>
    <reviewItem>
      <errorID>0cd23251-03db-482a-ae4b-e713e163be9e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749973DA</paraID>
      <start>0</start>
      <end>2</end>
      <status>modified</status>
      <modifiedWord>2.</modifiedWord>
      <trackRevisions>false</trackRevisions>
    </reviewItem>
    <reviewItem>
      <errorID>ac895ed8-c3a3-4b94-b08b-2fe094d66803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620535EC</paraID>
      <start>0</start>
      <end>2</end>
      <status>modified</status>
      <modifiedWord>3.</modifiedWord>
      <trackRevisions>false</trackRevisions>
    </reviewItem>
    <reviewItem>
      <errorID>ac71a92f-acaa-453b-a804-b2905bd1c872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6F45579A</paraID>
      <start>0</start>
      <end>2</end>
      <status>modified</status>
      <modifiedWord>4.</modifiedWord>
      <trackRevisions>false</trackRevisions>
    </reviewItem>
    <reviewItem>
      <errorID>60fb679f-acc3-417c-9825-a948ed78746e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6A36A505</paraID>
      <start>0</start>
      <end>2</end>
      <status>modified</status>
      <modifiedWord>5.</modifiedWord>
      <trackRevisions>false</trackRevisions>
    </reviewItem>
    <reviewItem>
      <errorID>c3676e32-79d2-4427-a6df-87264af17bd3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59444100</paraID>
      <start>0</start>
      <end>2</end>
      <status>modified</status>
      <modifiedWord>6.</modifiedWord>
      <trackRevisions>false</trackRevisions>
    </reviewItem>
    <reviewItem>
      <errorID>6e9e8e0a-4ae3-4907-a9e4-1bf354b8d08d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5D7E163A</paraID>
      <start>0</start>
      <end>2</end>
      <status>modified</status>
      <modifiedWord>7.</modifiedWord>
      <trackRevisions>false</trackRevisions>
    </reviewItem>
    <reviewItem>
      <errorID>8ad4dbd4-4e8f-4619-952c-54f4ad013b44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4A1D0890</paraID>
      <start>0</start>
      <end>2</end>
      <status>modified</status>
      <modifiedWord>9.</modifiedWord>
      <trackRevisions>false</trackRevisions>
    </reviewItem>
    <reviewItem>
      <errorID>72982d46-91a8-4617-b128-2d64b9931ed0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23E8B1F0</paraID>
      <start>0</start>
      <end>3</end>
      <status>modified</status>
      <modifiedWord>10.</modifiedWord>
      <trackRevisions>false</trackRevisions>
    </reviewItem>
    <reviewItem>
      <errorID>45216d87-055f-45d4-9582-c0e960bc6b2f</errorID>
      <errorWord>:</errorWord>
      <group>L1_Format</group>
      <groupName>格式问题</groupName>
      <ability>L2_HalfPunc</ability>
      <abilityName>全半角检查</abilityName>
      <candidateList>
        <item>：</item>
      </candidateList>
      <explain>文本全半角错误。</explain>
      <paraID>634CA871</paraID>
      <start>23</start>
      <end>24</end>
      <status>modified</status>
      <modifiedWord>：</modifiedWord>
      <trackRevisions>false</trackRevisions>
    </reviewItem>
    <reviewItem>
      <errorID>92dcd668-84b5-41cd-8d93-5c5a1c364524</errorID>
      <errorWord>:</errorWord>
      <group>L1_Format</group>
      <groupName>格式问题</groupName>
      <ability>L2_HalfPunc</ability>
      <abilityName>全半角检查</abilityName>
      <candidateList>
        <item>：</item>
      </candidateList>
      <explain>文本全半角错误。</explain>
      <paraID>1CB22719</paraID>
      <start>31</start>
      <end>32</end>
      <status>modified</status>
      <modifiedWord>：</modifiedWord>
      <trackRevisions>false</trackRevisions>
    </reviewItem>
    <reviewItem>
      <errorID>34200121-c5b3-48ca-995e-7a61c0198403</errorID>
      <errorWord>:</errorWord>
      <group>L1_Format</group>
      <groupName>格式问题</groupName>
      <ability>L2_HalfPunc</ability>
      <abilityName>全半角检查</abilityName>
      <candidateList>
        <item>：</item>
      </candidateList>
      <explain>文本全半角错误。</explain>
      <paraID>4799EBED</paraID>
      <start>26</start>
      <end>27</end>
      <status>modified</status>
      <modifiedWord>：</modifiedWord>
      <trackRevisions>false</trackRevisions>
    </reviewItem>
    <reviewItem>
      <errorID>d60ad544-5de4-4aaa-9008-52690791631b</errorID>
      <errorWord>:</errorWord>
      <group>L1_Format</group>
      <groupName>格式问题</groupName>
      <ability>L2_HalfPunc</ability>
      <abilityName>全半角检查</abilityName>
      <candidateList>
        <item>：</item>
      </candidateList>
      <explain>文本全半角错误。</explain>
      <paraID> 4A539D7</paraID>
      <start>96</start>
      <end>97</end>
      <status>modified</status>
      <modifiedWord>：</modifiedWord>
      <trackRevisions>false</trackRevisions>
    </reviewItem>
    <reviewItem>
      <errorID>28666416-555a-4a78-ae5b-247bff97172a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427FE0AD</paraID>
      <start>0</start>
      <end>2</end>
      <status>modified</status>
      <modifiedWord>1.</modifiedWord>
      <trackRevisions>false</trackRevisions>
    </reviewItem>
    <reviewItem>
      <errorID>a2af34df-e99d-442f-8496-e50277faed29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27343D53</paraID>
      <start>0</start>
      <end>2</end>
      <status>modified</status>
      <modifiedWord>2.</modifiedWord>
      <trackRevisions>false</trackRevisions>
    </reviewItem>
    <reviewItem>
      <errorID>71fbd1b8-0b19-497b-8180-f91226fdc112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27343D53</paraID>
      <start>73</start>
      <end>74</end>
      <status>ignored</status>
      <modifiedWord/>
      <trackRevisions>false</trackRevisions>
    </reviewItem>
    <reviewItem>
      <errorID>cf2ae60d-f284-43b1-bb27-3fc161b47cfe</errorID>
      <errorWord>:</errorWord>
      <group>L1_Format</group>
      <groupName>格式问题</groupName>
      <ability>L2_HalfPunc</ability>
      <abilityName>全半角检查</abilityName>
      <candidateList>
        <item>：</item>
      </candidateList>
      <explain>文本全半角错误。</explain>
      <paraID>757E8513</paraID>
      <start>1</start>
      <end>2</end>
      <status>modified</status>
      <modifiedWord>：</modifiedWord>
      <trackRevisions>false</trackRevisions>
    </reviewItem>
    <reviewItem>
      <errorID>a55077be-c43a-405f-abbc-66846ef18b84</errorID>
      <errorWord>:</errorWord>
      <group>L1_Format</group>
      <groupName>格式问题</groupName>
      <ability>L2_HalfPunc</ability>
      <abilityName>全半角检查</abilityName>
      <candidateList>
        <item>：</item>
      </candidateList>
      <explain>文本全半角错误。</explain>
      <paraID>5243EE03</paraID>
      <start>23</start>
      <end>24</end>
      <status>modified</status>
      <modifiedWord>：</modifiedWord>
      <trackRevisions>false</trackRevisions>
    </reviewItem>
    <reviewItem>
      <errorID>3999e398-466c-45a5-a33c-a118a47a5153</errorID>
      <errorWord>:</errorWord>
      <group>L1_Format</group>
      <groupName>格式问题</groupName>
      <ability>L2_HalfPunc</ability>
      <abilityName>全半角检查</abilityName>
      <candidateList>
        <item>：</item>
      </candidateList>
      <explain>文本全半角错误。</explain>
      <paraID>43E6ADDE</paraID>
      <start>31</start>
      <end>32</end>
      <status>modified</status>
      <modifiedWord>：</modifiedWord>
      <trackRevisions>false</trackRevisions>
    </reviewItem>
    <reviewItem>
      <errorID>693ad951-3619-4d87-bb6c-02f8ff6ddea3</errorID>
      <errorWord>:</errorWord>
      <group>L1_Format</group>
      <groupName>格式问题</groupName>
      <ability>L2_HalfPunc</ability>
      <abilityName>全半角检查</abilityName>
      <candidateList>
        <item>：</item>
      </candidateList>
      <explain>文本全半角错误。</explain>
      <paraID>2D734A6A</paraID>
      <start>26</start>
      <end>27</end>
      <status>modified</status>
      <modifiedWord>：</modifiedWord>
      <trackRevisions>false</trackRevisions>
    </reviewItem>
    <reviewItem>
      <errorID>4f076fe7-b3a6-4bd7-8d44-4fc137b8f01d</errorID>
      <errorWord>:</errorWord>
      <group>L1_Format</group>
      <groupName>格式问题</groupName>
      <ability>L2_HalfPunc</ability>
      <abilityName>全半角检查</abilityName>
      <candidateList>
        <item>：</item>
      </candidateList>
      <explain>文本全半角错误。</explain>
      <paraID>7DE22EFA</paraID>
      <start>1</start>
      <end>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1c58f9b-f284-42bb-9058-056bc23f0cbc}">
  <ds:schemaRefs/>
</ds:datastoreItem>
</file>

<file path=docProps/app.xml><?xml version="1.0" encoding="utf-8"?>
<Properties xmlns="http://schemas.openxmlformats.org/officeDocument/2006/extended-properties" xmlns:vt="http://schemas.openxmlformats.org/officeDocument/2006/docPropsVTypes">
  <Template>Normal.dotm</Template>
  <Pages>84</Pages>
  <Words>57101</Words>
  <Characters>62774</Characters>
  <Lines>1</Lines>
  <Paragraphs>1</Paragraphs>
  <TotalTime>68</TotalTime>
  <ScaleCrop>false</ScaleCrop>
  <LinksUpToDate>false</LinksUpToDate>
  <CharactersWithSpaces>66023</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2024-03-14T00:27:00Z</dcterms:created>
  <dc:creator>Administrator</dc:creator>
  <cp:lastModifiedBy>Administrator</cp:lastModifiedBy>
  <cp:lastPrinted>2025-05-09T06:16:00Z</cp:lastPrinted>
  <dcterms:modified xsi:type="dcterms:W3CDTF">2026-04-29T03:09:34Z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5E8E76D13AF9477E9A8F81403227889D_13</vt:lpwstr>
  </property>
  <property fmtid="{D5CDD505-2E9C-101B-9397-08002B2CF9AE}" pid="4" name="KSOTemplateDocerSaveRecord">
    <vt:lpwstr>eyJoZGlkIjoiMDU4MzFiOTlhMTExNWFiYmY5MDNjYmIzZDFhYzM4YjgiLCJ1c2VySWQiOiIzMDY0OTk4NTkifQ==</vt:lpwstr>
  </property>
</Properties>
</file>